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CC" w:rsidRPr="00E521BF" w:rsidRDefault="00E656CC" w:rsidP="00A60646">
      <w:pPr>
        <w:pStyle w:val="BodyTextIndent2"/>
        <w:ind w:left="0" w:firstLine="360"/>
        <w:jc w:val="center"/>
        <w:rPr>
          <w:rFonts w:ascii="Arial" w:hAnsi="Arial" w:cs="Arial"/>
          <w:b/>
          <w:i w:val="0"/>
          <w:sz w:val="22"/>
          <w:szCs w:val="22"/>
        </w:rPr>
      </w:pPr>
      <w:r w:rsidRPr="00E521BF">
        <w:rPr>
          <w:rFonts w:ascii="Arial" w:hAnsi="Arial" w:cs="Arial"/>
          <w:b/>
          <w:i w:val="0"/>
          <w:sz w:val="22"/>
          <w:szCs w:val="22"/>
        </w:rPr>
        <w:t xml:space="preserve">¿TRAMPA DE LA IGNORANCIA?  </w:t>
      </w:r>
    </w:p>
    <w:p w:rsidR="00E656CC" w:rsidRPr="00E521BF" w:rsidRDefault="00E656CC" w:rsidP="00A60646">
      <w:pPr>
        <w:pStyle w:val="BodyTextIndent2"/>
        <w:ind w:left="0" w:firstLine="360"/>
        <w:jc w:val="center"/>
        <w:rPr>
          <w:rFonts w:ascii="Arial" w:hAnsi="Arial" w:cs="Arial"/>
          <w:b/>
          <w:i w:val="0"/>
          <w:sz w:val="22"/>
          <w:szCs w:val="22"/>
        </w:rPr>
      </w:pPr>
      <w:r>
        <w:rPr>
          <w:rFonts w:ascii="Arial" w:hAnsi="Arial" w:cs="Arial"/>
          <w:b/>
          <w:i w:val="0"/>
          <w:sz w:val="22"/>
          <w:szCs w:val="22"/>
        </w:rPr>
        <w:t xml:space="preserve"> </w:t>
      </w:r>
    </w:p>
    <w:p w:rsidR="00E656CC" w:rsidRDefault="00E656CC" w:rsidP="00A60646">
      <w:pPr>
        <w:pStyle w:val="BodyTextIndent2"/>
        <w:ind w:left="0" w:firstLine="360"/>
        <w:jc w:val="center"/>
        <w:rPr>
          <w:rFonts w:ascii="Arial" w:hAnsi="Arial" w:cs="Arial"/>
          <w:b/>
          <w:i w:val="0"/>
          <w:sz w:val="22"/>
          <w:szCs w:val="22"/>
          <w:u w:val="single"/>
        </w:rPr>
      </w:pPr>
    </w:p>
    <w:p w:rsidR="00E656CC" w:rsidRPr="00E521BF" w:rsidRDefault="00E656CC" w:rsidP="00A60646">
      <w:pPr>
        <w:pStyle w:val="BodyTextIndent2"/>
        <w:ind w:left="0" w:firstLine="360"/>
        <w:jc w:val="center"/>
        <w:rPr>
          <w:rFonts w:ascii="Arial" w:hAnsi="Arial" w:cs="Arial"/>
          <w:b/>
          <w:i w:val="0"/>
          <w:sz w:val="22"/>
          <w:szCs w:val="22"/>
          <w:u w:val="single"/>
        </w:rPr>
      </w:pPr>
    </w:p>
    <w:p w:rsidR="00E656CC" w:rsidRPr="00E521BF" w:rsidRDefault="00E656CC" w:rsidP="00A60646">
      <w:pPr>
        <w:pStyle w:val="BodyTextIndent2"/>
        <w:ind w:left="0" w:firstLine="360"/>
        <w:jc w:val="center"/>
        <w:rPr>
          <w:rFonts w:ascii="Arial" w:hAnsi="Arial" w:cs="Arial"/>
          <w:i w:val="0"/>
          <w:sz w:val="22"/>
          <w:szCs w:val="22"/>
        </w:rPr>
      </w:pPr>
    </w:p>
    <w:p w:rsidR="00E656CC" w:rsidRPr="00E521BF" w:rsidRDefault="00E656CC" w:rsidP="00A60646">
      <w:pPr>
        <w:pStyle w:val="BodyTextIndent2"/>
        <w:ind w:left="0" w:firstLine="360"/>
        <w:rPr>
          <w:rFonts w:ascii="Arial" w:hAnsi="Arial" w:cs="Arial"/>
          <w:i w:val="0"/>
          <w:sz w:val="22"/>
          <w:szCs w:val="22"/>
        </w:rPr>
      </w:pPr>
      <w:r w:rsidRPr="00E521BF">
        <w:rPr>
          <w:rFonts w:ascii="Arial" w:hAnsi="Arial" w:cs="Arial"/>
          <w:b/>
          <w:i w:val="0"/>
          <w:sz w:val="22"/>
          <w:szCs w:val="22"/>
        </w:rPr>
        <w:t>PALABRAS CLAVE</w:t>
      </w:r>
      <w:r w:rsidRPr="00541F37">
        <w:rPr>
          <w:rFonts w:ascii="Arial" w:hAnsi="Arial" w:cs="Arial"/>
          <w:b/>
          <w:i w:val="0"/>
          <w:sz w:val="22"/>
          <w:szCs w:val="22"/>
        </w:rPr>
        <w:t>S:</w:t>
      </w:r>
      <w:r w:rsidRPr="00E521BF">
        <w:rPr>
          <w:rFonts w:ascii="Arial" w:hAnsi="Arial" w:cs="Arial"/>
          <w:i w:val="0"/>
          <w:sz w:val="22"/>
          <w:szCs w:val="22"/>
        </w:rPr>
        <w:t xml:space="preserve"> Crecimiento, Con</w:t>
      </w:r>
      <w:r>
        <w:rPr>
          <w:rFonts w:ascii="Arial" w:hAnsi="Arial" w:cs="Arial"/>
          <w:i w:val="0"/>
          <w:sz w:val="22"/>
          <w:szCs w:val="22"/>
        </w:rPr>
        <w:t>vergencia, Economías Regionales.</w:t>
      </w:r>
    </w:p>
    <w:p w:rsidR="00E656CC" w:rsidRPr="00E521BF" w:rsidRDefault="00E656CC" w:rsidP="00A60646">
      <w:pPr>
        <w:pStyle w:val="BodyTextIndent2"/>
        <w:ind w:left="0" w:firstLine="360"/>
        <w:rPr>
          <w:rFonts w:ascii="Arial" w:hAnsi="Arial" w:cs="Arial"/>
          <w:i w:val="0"/>
          <w:sz w:val="22"/>
          <w:szCs w:val="22"/>
        </w:rPr>
      </w:pPr>
      <w:r w:rsidRPr="00E521BF">
        <w:rPr>
          <w:rFonts w:ascii="Arial" w:hAnsi="Arial" w:cs="Arial"/>
          <w:b/>
          <w:i w:val="0"/>
          <w:sz w:val="22"/>
          <w:szCs w:val="22"/>
        </w:rPr>
        <w:t>CÓDIGOS</w:t>
      </w:r>
      <w:r>
        <w:rPr>
          <w:rFonts w:ascii="Arial" w:hAnsi="Arial" w:cs="Arial"/>
          <w:b/>
          <w:i w:val="0"/>
          <w:sz w:val="22"/>
          <w:szCs w:val="22"/>
        </w:rPr>
        <w:t xml:space="preserve"> JE</w:t>
      </w:r>
      <w:r w:rsidRPr="00541F37">
        <w:rPr>
          <w:rFonts w:ascii="Arial" w:hAnsi="Arial" w:cs="Arial"/>
          <w:b/>
          <w:i w:val="0"/>
          <w:sz w:val="22"/>
          <w:szCs w:val="22"/>
        </w:rPr>
        <w:t>L:</w:t>
      </w:r>
      <w:r w:rsidRPr="00E521BF">
        <w:rPr>
          <w:rFonts w:ascii="Arial" w:hAnsi="Arial" w:cs="Arial"/>
          <w:i w:val="0"/>
          <w:sz w:val="22"/>
          <w:szCs w:val="22"/>
        </w:rPr>
        <w:t xml:space="preserve"> E6, O4, R0</w:t>
      </w:r>
      <w:r>
        <w:rPr>
          <w:rFonts w:ascii="Arial" w:hAnsi="Arial" w:cs="Arial"/>
          <w:i w:val="0"/>
          <w:sz w:val="22"/>
          <w:szCs w:val="22"/>
        </w:rPr>
        <w:t>.</w:t>
      </w:r>
    </w:p>
    <w:p w:rsidR="00E656CC" w:rsidRPr="00E521BF" w:rsidRDefault="00E656CC" w:rsidP="00A60646">
      <w:pPr>
        <w:pStyle w:val="BodyTextIndent2"/>
        <w:ind w:left="0" w:firstLine="360"/>
        <w:jc w:val="center"/>
        <w:rPr>
          <w:rFonts w:ascii="Arial" w:hAnsi="Arial" w:cs="Arial"/>
          <w:i w:val="0"/>
          <w:sz w:val="22"/>
          <w:szCs w:val="22"/>
        </w:rPr>
      </w:pPr>
    </w:p>
    <w:p w:rsidR="00E656CC" w:rsidRPr="00CF7780" w:rsidRDefault="00E656CC" w:rsidP="00AC3FF0">
      <w:pPr>
        <w:pStyle w:val="BodyTextIndent2"/>
        <w:ind w:left="0"/>
        <w:jc w:val="right"/>
        <w:rPr>
          <w:rFonts w:ascii="Arial" w:hAnsi="Arial" w:cs="Arial"/>
          <w:i w:val="0"/>
          <w:sz w:val="22"/>
          <w:szCs w:val="22"/>
        </w:rPr>
      </w:pPr>
      <w:r w:rsidRPr="00CF7780">
        <w:rPr>
          <w:rFonts w:ascii="Arial" w:hAnsi="Arial" w:cs="Arial"/>
          <w:i w:val="0"/>
          <w:sz w:val="22"/>
          <w:szCs w:val="22"/>
        </w:rPr>
        <w:t xml:space="preserve">Alberto José Figueras (IEF-UNC) alfi@eco.unc.edu.ar, </w:t>
      </w:r>
    </w:p>
    <w:p w:rsidR="00E656CC" w:rsidRPr="00CF7780" w:rsidRDefault="00E656CC" w:rsidP="00AC3FF0">
      <w:pPr>
        <w:pStyle w:val="BodyTextIndent2"/>
        <w:ind w:left="0"/>
        <w:jc w:val="right"/>
        <w:rPr>
          <w:rFonts w:ascii="Arial" w:hAnsi="Arial" w:cs="Arial"/>
          <w:i w:val="0"/>
          <w:sz w:val="22"/>
          <w:szCs w:val="22"/>
          <w:lang w:val="it-IT"/>
        </w:rPr>
      </w:pPr>
      <w:r w:rsidRPr="00CF7780">
        <w:rPr>
          <w:rFonts w:ascii="Arial" w:hAnsi="Arial" w:cs="Arial"/>
          <w:i w:val="0"/>
          <w:sz w:val="22"/>
          <w:szCs w:val="22"/>
          <w:lang w:val="it-IT"/>
        </w:rPr>
        <w:t>Valeria Blanco (IEF-UNC)</w:t>
      </w:r>
      <w:r w:rsidRPr="00CF7780">
        <w:rPr>
          <w:rFonts w:ascii="Arial" w:hAnsi="Arial" w:cs="Arial"/>
          <w:sz w:val="22"/>
          <w:szCs w:val="22"/>
          <w:lang w:val="it-IT"/>
        </w:rPr>
        <w:t xml:space="preserve"> valeriablanco@eco.unc.edu.ar</w:t>
      </w:r>
    </w:p>
    <w:p w:rsidR="00E656CC" w:rsidRPr="00CF7780" w:rsidRDefault="00E656CC" w:rsidP="00AC3FF0">
      <w:pPr>
        <w:pStyle w:val="BodyTextIndent2"/>
        <w:ind w:left="0"/>
        <w:jc w:val="right"/>
        <w:rPr>
          <w:rFonts w:ascii="Arial" w:hAnsi="Arial" w:cs="Arial"/>
          <w:i w:val="0"/>
          <w:sz w:val="22"/>
          <w:szCs w:val="22"/>
          <w:lang w:val="it-IT"/>
        </w:rPr>
      </w:pPr>
      <w:r w:rsidRPr="00CF7780">
        <w:rPr>
          <w:rFonts w:ascii="Arial" w:hAnsi="Arial" w:cs="Arial"/>
          <w:i w:val="0"/>
          <w:sz w:val="22"/>
          <w:szCs w:val="22"/>
          <w:lang w:val="it-IT"/>
        </w:rPr>
        <w:t>Daniela Cristina (IEF-UNC)</w:t>
      </w:r>
      <w:r w:rsidRPr="00CF7780">
        <w:rPr>
          <w:rFonts w:ascii="Arial" w:hAnsi="Arial" w:cs="Arial"/>
          <w:sz w:val="22"/>
          <w:szCs w:val="22"/>
          <w:lang w:val="it-IT"/>
        </w:rPr>
        <w:t xml:space="preserve"> daniela.cristina@eco.uncor.edu</w:t>
      </w:r>
    </w:p>
    <w:p w:rsidR="00E656CC" w:rsidRPr="00CF7780" w:rsidRDefault="00E656CC" w:rsidP="00AC3FF0">
      <w:pPr>
        <w:pStyle w:val="BodyTextIndent2"/>
        <w:ind w:left="0"/>
        <w:jc w:val="right"/>
        <w:rPr>
          <w:rFonts w:ascii="Arial" w:hAnsi="Arial" w:cs="Arial"/>
          <w:sz w:val="22"/>
          <w:szCs w:val="22"/>
          <w:lang w:val="it-IT"/>
        </w:rPr>
      </w:pPr>
      <w:r w:rsidRPr="00CF7780">
        <w:rPr>
          <w:rFonts w:ascii="Arial" w:hAnsi="Arial" w:cs="Arial"/>
          <w:i w:val="0"/>
          <w:sz w:val="22"/>
          <w:szCs w:val="22"/>
          <w:lang w:val="en-US"/>
        </w:rPr>
        <w:t xml:space="preserve">Ivan Iturralde (IEF-UNC) </w:t>
      </w:r>
      <w:r w:rsidRPr="00CF7780">
        <w:rPr>
          <w:rFonts w:ascii="Arial" w:hAnsi="Arial" w:cs="Arial"/>
          <w:sz w:val="22"/>
          <w:szCs w:val="22"/>
          <w:lang w:val="en-US"/>
        </w:rPr>
        <w:t>ivit@</w:t>
      </w:r>
      <w:r w:rsidRPr="00CF7780">
        <w:rPr>
          <w:rFonts w:ascii="Arial" w:hAnsi="Arial" w:cs="Arial"/>
          <w:sz w:val="22"/>
          <w:szCs w:val="22"/>
          <w:lang w:val="it-IT"/>
        </w:rPr>
        <w:t>eco.unc.edu.ar</w:t>
      </w:r>
      <w:r w:rsidRPr="00CF7780">
        <w:rPr>
          <w:rStyle w:val="FootnoteReference"/>
          <w:rFonts w:ascii="Arial" w:hAnsi="Arial" w:cs="Arial"/>
          <w:sz w:val="22"/>
          <w:szCs w:val="22"/>
          <w:lang w:val="en-US"/>
        </w:rPr>
        <w:footnoteReference w:id="2"/>
      </w:r>
    </w:p>
    <w:p w:rsidR="00E656CC" w:rsidRPr="00CF7780" w:rsidRDefault="00E656CC" w:rsidP="00514640">
      <w:pPr>
        <w:pStyle w:val="Heading2"/>
        <w:keepLines/>
        <w:numPr>
          <w:ilvl w:val="0"/>
          <w:numId w:val="0"/>
        </w:numPr>
        <w:spacing w:before="100" w:beforeAutospacing="1" w:after="100" w:afterAutospacing="1"/>
        <w:ind w:left="454" w:hanging="397"/>
        <w:rPr>
          <w:rFonts w:cs="Arial"/>
          <w:sz w:val="22"/>
          <w:szCs w:val="22"/>
          <w:lang w:val="es-AR"/>
        </w:rPr>
      </w:pPr>
      <w:r w:rsidRPr="00CF7780">
        <w:rPr>
          <w:rFonts w:cs="Arial"/>
          <w:sz w:val="22"/>
          <w:szCs w:val="22"/>
          <w:lang w:val="es-AR"/>
        </w:rPr>
        <w:t>I. Introducción</w:t>
      </w:r>
    </w:p>
    <w:p w:rsidR="00E656CC" w:rsidRPr="00CF7780" w:rsidRDefault="00E656CC" w:rsidP="00514640">
      <w:pPr>
        <w:spacing w:before="100" w:beforeAutospacing="1" w:after="100" w:afterAutospacing="1"/>
        <w:ind w:firstLine="567"/>
        <w:jc w:val="both"/>
        <w:rPr>
          <w:rFonts w:ascii="Arial" w:hAnsi="Arial" w:cs="Arial"/>
          <w:sz w:val="22"/>
          <w:szCs w:val="22"/>
        </w:rPr>
      </w:pPr>
      <w:r w:rsidRPr="00CF7780">
        <w:rPr>
          <w:rFonts w:ascii="Arial" w:hAnsi="Arial" w:cs="Arial"/>
          <w:sz w:val="22"/>
          <w:szCs w:val="22"/>
        </w:rPr>
        <w:t xml:space="preserve">Entre las teorías del crecimiento pueden distinguirse </w:t>
      </w:r>
      <w:r w:rsidRPr="00CF7780">
        <w:rPr>
          <w:rFonts w:ascii="Arial" w:hAnsi="Arial" w:cs="Arial"/>
          <w:b/>
          <w:sz w:val="22"/>
          <w:szCs w:val="22"/>
        </w:rPr>
        <w:t>dos grandes líneas</w:t>
      </w:r>
      <w:r w:rsidRPr="00CF7780">
        <w:rPr>
          <w:rFonts w:ascii="Arial" w:hAnsi="Arial" w:cs="Arial"/>
          <w:sz w:val="22"/>
          <w:szCs w:val="22"/>
        </w:rPr>
        <w:t xml:space="preserve">: aquellas que acentúan las facetas </w:t>
      </w:r>
      <w:r w:rsidRPr="00CF7780">
        <w:rPr>
          <w:rFonts w:ascii="Arial" w:hAnsi="Arial" w:cs="Arial"/>
          <w:b/>
          <w:sz w:val="22"/>
          <w:szCs w:val="22"/>
        </w:rPr>
        <w:t>de oferta</w:t>
      </w:r>
      <w:r w:rsidRPr="00CF7780">
        <w:rPr>
          <w:rFonts w:ascii="Arial" w:hAnsi="Arial" w:cs="Arial"/>
          <w:sz w:val="22"/>
          <w:szCs w:val="22"/>
        </w:rPr>
        <w:t xml:space="preserve"> (recursos y tecnología) y las que remarcan las aristas </w:t>
      </w:r>
      <w:r w:rsidRPr="00CF7780">
        <w:rPr>
          <w:rFonts w:ascii="Arial" w:hAnsi="Arial" w:cs="Arial"/>
          <w:b/>
          <w:sz w:val="22"/>
          <w:szCs w:val="22"/>
        </w:rPr>
        <w:t>de demanda</w:t>
      </w:r>
      <w:r w:rsidRPr="00CF7780">
        <w:rPr>
          <w:rFonts w:ascii="Arial" w:hAnsi="Arial" w:cs="Arial"/>
          <w:sz w:val="22"/>
          <w:szCs w:val="22"/>
        </w:rPr>
        <w:t xml:space="preserve">. Entre las primeras, se incluyen </w:t>
      </w:r>
      <w:r w:rsidRPr="00CF7780">
        <w:rPr>
          <w:rFonts w:ascii="Arial" w:hAnsi="Arial" w:cs="Arial"/>
          <w:i/>
          <w:sz w:val="22"/>
          <w:szCs w:val="22"/>
        </w:rPr>
        <w:t>las keynesianas</w:t>
      </w:r>
      <w:r w:rsidRPr="00CF7780">
        <w:rPr>
          <w:rFonts w:ascii="Arial" w:hAnsi="Arial" w:cs="Arial"/>
          <w:sz w:val="22"/>
          <w:szCs w:val="22"/>
        </w:rPr>
        <w:t xml:space="preserve"> primitivas (Domar y Harrod), las </w:t>
      </w:r>
      <w:r w:rsidRPr="00CF7780">
        <w:rPr>
          <w:rFonts w:ascii="Arial" w:hAnsi="Arial" w:cs="Arial"/>
          <w:i/>
          <w:sz w:val="22"/>
          <w:szCs w:val="22"/>
        </w:rPr>
        <w:t>neoclásicas originales</w:t>
      </w:r>
      <w:r w:rsidRPr="00CF7780">
        <w:rPr>
          <w:rFonts w:ascii="Arial" w:hAnsi="Arial" w:cs="Arial"/>
          <w:sz w:val="22"/>
          <w:szCs w:val="22"/>
        </w:rPr>
        <w:t xml:space="preserve"> (Swan, Solow) y las </w:t>
      </w:r>
      <w:r w:rsidRPr="00CF7780">
        <w:rPr>
          <w:rFonts w:ascii="Arial" w:hAnsi="Arial" w:cs="Arial"/>
          <w:i/>
          <w:sz w:val="22"/>
          <w:szCs w:val="22"/>
        </w:rPr>
        <w:t>neoclásicas del crecimiento endógeno</w:t>
      </w:r>
      <w:r w:rsidRPr="00CF7780">
        <w:rPr>
          <w:rFonts w:ascii="Arial" w:hAnsi="Arial" w:cs="Arial"/>
          <w:sz w:val="22"/>
          <w:szCs w:val="22"/>
        </w:rPr>
        <w:t xml:space="preserve"> (Romer, Lucas, etc.). Entre las de demanda, se destaca </w:t>
      </w:r>
      <w:r w:rsidRPr="00CF7780">
        <w:rPr>
          <w:rFonts w:ascii="Arial" w:hAnsi="Arial" w:cs="Arial"/>
          <w:i/>
          <w:sz w:val="22"/>
          <w:szCs w:val="22"/>
        </w:rPr>
        <w:t>la teoría postkeynesiana</w:t>
      </w:r>
      <w:r w:rsidRPr="00CF7780">
        <w:rPr>
          <w:rFonts w:ascii="Arial" w:hAnsi="Arial" w:cs="Arial"/>
          <w:sz w:val="22"/>
          <w:szCs w:val="22"/>
        </w:rPr>
        <w:t xml:space="preserve"> de Thirlwall, o de crecimiento liderado por las exportaciones.</w:t>
      </w:r>
    </w:p>
    <w:p w:rsidR="00E656CC" w:rsidRPr="00CF7780" w:rsidRDefault="00E656CC" w:rsidP="008F771D">
      <w:pPr>
        <w:spacing w:before="100" w:beforeAutospacing="1" w:after="100" w:afterAutospacing="1"/>
        <w:ind w:firstLine="567"/>
        <w:jc w:val="both"/>
        <w:rPr>
          <w:rFonts w:ascii="Arial" w:hAnsi="Arial" w:cs="Arial"/>
          <w:sz w:val="22"/>
          <w:szCs w:val="22"/>
        </w:rPr>
      </w:pPr>
      <w:r w:rsidRPr="00CF7780">
        <w:rPr>
          <w:rFonts w:ascii="Arial" w:hAnsi="Arial" w:cs="Arial"/>
          <w:sz w:val="22"/>
          <w:szCs w:val="22"/>
        </w:rPr>
        <w:t xml:space="preserve">La mirada académica predominante es la que acentúa la perspectiva de oferta, en donde intuitivamente se entiende que la tecnología es el elemento fundamental. Sin embargo, un controversial trabajo de Young (1995) sobre los cuatro dragones asiáticos (Taiwán, Corea del Sur, Singapur y Hong Kong), llega a la conclusión de que la llave no estuvo en el cambio tecnológico sino en el crecimiento de los factores; y éste se dio por el aliciente de </w:t>
      </w:r>
      <w:r w:rsidRPr="00CF7780">
        <w:rPr>
          <w:rFonts w:ascii="Arial" w:hAnsi="Arial" w:cs="Arial"/>
          <w:i/>
          <w:sz w:val="22"/>
          <w:szCs w:val="22"/>
        </w:rPr>
        <w:t>su orientación hacia las exportaciones</w:t>
      </w:r>
      <w:r w:rsidRPr="00CF7780">
        <w:rPr>
          <w:rFonts w:ascii="Arial" w:hAnsi="Arial" w:cs="Arial"/>
          <w:sz w:val="22"/>
          <w:szCs w:val="22"/>
        </w:rPr>
        <w:t>. Un aspecto omitido por la teoría neoclásica es precisamente ese: la preocupación por la demanda externa, por el balance de pagos y los problemas propios de una economía abierta (tipo de cambio, nivel de importaciones).</w:t>
      </w:r>
    </w:p>
    <w:p w:rsidR="00E656CC" w:rsidRPr="00CF7780" w:rsidRDefault="00E656CC" w:rsidP="008F771D">
      <w:pPr>
        <w:spacing w:before="100" w:beforeAutospacing="1" w:after="100" w:afterAutospacing="1"/>
        <w:ind w:firstLine="567"/>
        <w:jc w:val="both"/>
        <w:rPr>
          <w:rFonts w:ascii="Arial" w:hAnsi="Arial" w:cs="Arial"/>
          <w:sz w:val="22"/>
          <w:szCs w:val="22"/>
        </w:rPr>
      </w:pPr>
      <w:r w:rsidRPr="00CF7780">
        <w:rPr>
          <w:rFonts w:ascii="Arial" w:hAnsi="Arial" w:cs="Arial"/>
          <w:sz w:val="22"/>
          <w:szCs w:val="22"/>
        </w:rPr>
        <w:t>La canónica Teoría Neoclásica de Solow-Swan se centra en tres factores (tecnología, capital y trabajo). En este esquema el cambio tecnológico es fundamental, pero el modelo no se ocupa del origen de ese cambio tecnológico, y por qué difiere entre países. Y esto último es fundamental para explicar las diferencias entre naciones. Si bien ésta es una debilidad del modelo, también es cierto que los modelos no pueden abarcar todo (ya que son abstracciones reduccionistas).</w:t>
      </w:r>
    </w:p>
    <w:p w:rsidR="00E656CC" w:rsidRPr="00CF7780" w:rsidRDefault="00E656CC" w:rsidP="008F771D">
      <w:pPr>
        <w:spacing w:before="100" w:beforeAutospacing="1" w:after="100" w:afterAutospacing="1"/>
        <w:ind w:firstLine="567"/>
        <w:jc w:val="both"/>
        <w:rPr>
          <w:rFonts w:ascii="Arial" w:hAnsi="Arial" w:cs="Arial"/>
          <w:sz w:val="22"/>
          <w:szCs w:val="22"/>
        </w:rPr>
      </w:pPr>
      <w:r w:rsidRPr="00CF7780">
        <w:rPr>
          <w:rFonts w:ascii="Arial" w:hAnsi="Arial" w:cs="Arial"/>
          <w:sz w:val="22"/>
          <w:szCs w:val="22"/>
        </w:rPr>
        <w:t xml:space="preserve">Ahora bien, una de las predicciones de la Teoría Neoclásica es la convergencia en nivel de ingreso por habitante entre los distintos países; y esto en razón de los rendimientos decrecientes del capital. Pero esa convergencia no se manifiesta de manera absoluta (o incondicionada) pues en la realidad existen rendimientos constantes. Este es el punto de partida de las llamadas teorías endógenas del crecimiento que intentan explicar el porqué de la “ausencia” de convergencia. En definitiva, la idea es que </w:t>
      </w:r>
      <w:r w:rsidRPr="00CF7780">
        <w:rPr>
          <w:rFonts w:ascii="Arial" w:hAnsi="Arial" w:cs="Arial"/>
          <w:b/>
          <w:sz w:val="22"/>
          <w:szCs w:val="22"/>
        </w:rPr>
        <w:t>hay factores que impiden que el producto marginal del capital decrezca,</w:t>
      </w:r>
      <w:r w:rsidRPr="00CF7780">
        <w:rPr>
          <w:rFonts w:ascii="Arial" w:hAnsi="Arial" w:cs="Arial"/>
          <w:sz w:val="22"/>
          <w:szCs w:val="22"/>
        </w:rPr>
        <w:t xml:space="preserve"> como postula el supuesto de la función de producción neoclásica.</w:t>
      </w:r>
    </w:p>
    <w:p w:rsidR="00E656CC" w:rsidRPr="00CF7780" w:rsidRDefault="00E656CC" w:rsidP="008F771D">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Hay varias explicaciones teóricas. </w:t>
      </w:r>
      <w:r w:rsidRPr="00CF7780">
        <w:rPr>
          <w:rFonts w:ascii="Arial" w:hAnsi="Arial" w:cs="Arial"/>
          <w:b/>
          <w:sz w:val="22"/>
          <w:szCs w:val="22"/>
        </w:rPr>
        <w:t>Todas apuntan a las externalidades</w:t>
      </w:r>
      <w:r w:rsidRPr="00CF7780">
        <w:rPr>
          <w:rFonts w:ascii="Arial" w:hAnsi="Arial" w:cs="Arial"/>
          <w:sz w:val="22"/>
          <w:szCs w:val="22"/>
        </w:rPr>
        <w:t xml:space="preserve"> como causa. Para mencionar algunas: la de </w:t>
      </w:r>
      <w:r w:rsidRPr="00CF7780">
        <w:rPr>
          <w:rFonts w:ascii="Arial" w:hAnsi="Arial" w:cs="Arial"/>
          <w:b/>
          <w:sz w:val="22"/>
          <w:szCs w:val="22"/>
        </w:rPr>
        <w:t>Romer</w:t>
      </w:r>
      <w:r w:rsidRPr="00CF7780">
        <w:rPr>
          <w:rFonts w:ascii="Arial" w:hAnsi="Arial" w:cs="Arial"/>
          <w:sz w:val="22"/>
          <w:szCs w:val="22"/>
        </w:rPr>
        <w:t xml:space="preserve"> (1986), que sostiene la presencia de externalidades en los procesos de “investigación y desarrollo” (lo que desató la obsesión mundial por aplicar fondos en ese rubro…, hasta casi el despilfarro); la de</w:t>
      </w:r>
      <w:r w:rsidRPr="00CF7780">
        <w:rPr>
          <w:rFonts w:ascii="Arial" w:hAnsi="Arial" w:cs="Arial"/>
          <w:b/>
          <w:sz w:val="22"/>
          <w:szCs w:val="22"/>
        </w:rPr>
        <w:t xml:space="preserve"> Lucas</w:t>
      </w:r>
      <w:r w:rsidRPr="00CF7780">
        <w:rPr>
          <w:rFonts w:ascii="Arial" w:hAnsi="Arial" w:cs="Arial"/>
          <w:sz w:val="22"/>
          <w:szCs w:val="22"/>
        </w:rPr>
        <w:t xml:space="preserve"> (de 1988) que también apunta a la presencia de externalidades, esta vez </w:t>
      </w:r>
      <w:r w:rsidRPr="00CF7780">
        <w:rPr>
          <w:rFonts w:ascii="Arial" w:hAnsi="Arial" w:cs="Arial"/>
          <w:b/>
          <w:sz w:val="22"/>
          <w:szCs w:val="22"/>
        </w:rPr>
        <w:t>en el proceso educativo</w:t>
      </w:r>
      <w:r w:rsidRPr="00CF7780">
        <w:rPr>
          <w:rFonts w:ascii="Arial" w:hAnsi="Arial" w:cs="Arial"/>
          <w:sz w:val="22"/>
          <w:szCs w:val="22"/>
        </w:rPr>
        <w:t xml:space="preserve">; y la de </w:t>
      </w:r>
      <w:r w:rsidRPr="00CF7780">
        <w:rPr>
          <w:rFonts w:ascii="Arial" w:hAnsi="Arial" w:cs="Arial"/>
          <w:b/>
          <w:sz w:val="22"/>
          <w:szCs w:val="22"/>
        </w:rPr>
        <w:t>Grossman y Helpman</w:t>
      </w:r>
      <w:r w:rsidRPr="00CF7780">
        <w:rPr>
          <w:rFonts w:ascii="Arial" w:hAnsi="Arial" w:cs="Arial"/>
          <w:sz w:val="22"/>
          <w:szCs w:val="22"/>
        </w:rPr>
        <w:t xml:space="preserve"> (1991), que específicamente señalan a los efectos externos por difusión de la tecnología.</w:t>
      </w:r>
    </w:p>
    <w:p w:rsidR="00E656CC" w:rsidRPr="00CF7780" w:rsidRDefault="00E656CC" w:rsidP="008F771D">
      <w:pPr>
        <w:pStyle w:val="Heading2"/>
        <w:keepLines/>
        <w:numPr>
          <w:ilvl w:val="0"/>
          <w:numId w:val="0"/>
        </w:numPr>
        <w:spacing w:before="100" w:beforeAutospacing="1" w:after="100" w:afterAutospacing="1"/>
        <w:ind w:left="454" w:hanging="397"/>
        <w:rPr>
          <w:rFonts w:cs="Arial"/>
          <w:sz w:val="22"/>
          <w:szCs w:val="22"/>
          <w:lang w:val="es-AR"/>
        </w:rPr>
      </w:pPr>
      <w:r w:rsidRPr="00CF7780">
        <w:rPr>
          <w:sz w:val="22"/>
          <w:lang w:val="es-AR"/>
        </w:rPr>
        <w:t xml:space="preserve">II. Las variables relevantes para el crecimiento </w:t>
      </w:r>
    </w:p>
    <w:p w:rsidR="00E656CC" w:rsidRPr="00CF7780" w:rsidRDefault="00E656CC" w:rsidP="008F771D">
      <w:pPr>
        <w:spacing w:before="100" w:beforeAutospacing="1" w:after="100" w:afterAutospacing="1"/>
        <w:ind w:firstLine="454"/>
        <w:jc w:val="both"/>
        <w:rPr>
          <w:rFonts w:ascii="Arial" w:hAnsi="Arial" w:cs="Arial"/>
          <w:sz w:val="22"/>
          <w:szCs w:val="22"/>
          <w:lang w:val="es-AR"/>
        </w:rPr>
      </w:pPr>
      <w:r w:rsidRPr="00CF7780">
        <w:rPr>
          <w:rFonts w:ascii="Arial" w:hAnsi="Arial" w:cs="Arial"/>
          <w:sz w:val="22"/>
          <w:szCs w:val="22"/>
          <w:lang w:val="es-AR"/>
        </w:rPr>
        <w:t xml:space="preserve">¿Cuál es la mejor forma de considerar el crecimiento económico? ¿Qué variables serían las más relevantes para considerar? ¿Son éstas las mismas </w:t>
      </w:r>
      <w:r w:rsidRPr="00CF7780">
        <w:rPr>
          <w:rFonts w:ascii="Arial" w:hAnsi="Arial" w:cs="Arial"/>
          <w:i/>
          <w:sz w:val="22"/>
          <w:szCs w:val="22"/>
          <w:lang w:val="es-AR"/>
        </w:rPr>
        <w:t>en cualquier contexto y/o sendero histórico</w:t>
      </w:r>
      <w:r w:rsidRPr="00CF7780">
        <w:rPr>
          <w:rFonts w:ascii="Arial" w:hAnsi="Arial" w:cs="Arial"/>
          <w:sz w:val="22"/>
          <w:szCs w:val="22"/>
          <w:lang w:val="es-AR"/>
        </w:rPr>
        <w:t xml:space="preserve"> y en </w:t>
      </w:r>
      <w:r w:rsidRPr="00CF7780">
        <w:rPr>
          <w:rFonts w:ascii="Arial" w:hAnsi="Arial" w:cs="Arial"/>
          <w:i/>
          <w:sz w:val="22"/>
          <w:szCs w:val="22"/>
          <w:lang w:val="es-AR"/>
        </w:rPr>
        <w:t>cualquier marco espacial</w:t>
      </w:r>
      <w:r w:rsidRPr="00CF7780">
        <w:rPr>
          <w:rFonts w:ascii="Arial" w:hAnsi="Arial" w:cs="Arial"/>
          <w:sz w:val="22"/>
          <w:szCs w:val="22"/>
          <w:lang w:val="es-AR"/>
        </w:rPr>
        <w:t>? ¿Tienen un efecto permanente los cambios en las políticas? Estas son claras preguntas de partida, siempre presentes. Se expliciten o no.</w:t>
      </w:r>
    </w:p>
    <w:p w:rsidR="00E656CC" w:rsidRPr="00CF7780" w:rsidRDefault="00E656CC" w:rsidP="008F771D">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En el tradicional modelo de Solow-Swan (Sollow, 1957; Swan, 1956), el crecimiento es exógeno, originado por el crecimiento tanto de la población como por el progreso tecnológico, sin dar lugar a vínculos explícitos entre educación y crecimiento. Por otra parte, en la</w:t>
      </w:r>
      <w:r w:rsidRPr="00CF7780">
        <w:rPr>
          <w:rFonts w:ascii="Arial" w:hAnsi="Arial" w:cs="Arial"/>
          <w:b/>
          <w:sz w:val="22"/>
          <w:szCs w:val="22"/>
        </w:rPr>
        <w:t xml:space="preserve"> teoría del capital humano</w:t>
      </w:r>
      <w:r w:rsidRPr="00CF7780">
        <w:rPr>
          <w:rFonts w:ascii="Arial" w:hAnsi="Arial" w:cs="Arial"/>
          <w:sz w:val="22"/>
          <w:szCs w:val="22"/>
        </w:rPr>
        <w:t xml:space="preserve"> (Mincer, 1958; Schultz 1961, Becker, 1964), la educación aumenta la productividad marginal del trabajo y, bajo el supuesto de maximización de los beneficios (con correspondencia entre salarios y productividad marginal) aumenta la retribución del trabajo. Esto es, el aumento en la productividad se traduce entonces en mayor crecimiento económico. </w:t>
      </w:r>
    </w:p>
    <w:p w:rsidR="00E656CC" w:rsidRPr="00CF7780" w:rsidRDefault="00E656CC" w:rsidP="008F771D">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No es de olvidar que </w:t>
      </w:r>
      <w:r w:rsidRPr="00CF7780">
        <w:rPr>
          <w:rFonts w:ascii="Arial" w:hAnsi="Arial" w:cs="Arial"/>
          <w:b/>
          <w:sz w:val="22"/>
          <w:szCs w:val="22"/>
        </w:rPr>
        <w:t>en las teorías básicas de crecimiento, tanto de raíz neoclásica como de raíz keynesiana,</w:t>
      </w:r>
      <w:r w:rsidRPr="00CF7780">
        <w:rPr>
          <w:rFonts w:ascii="Arial" w:hAnsi="Arial" w:cs="Arial"/>
          <w:sz w:val="22"/>
          <w:szCs w:val="22"/>
        </w:rPr>
        <w:t xml:space="preserve"> la expresión más sencilla concluía que la tasa de crecimiento dependía del nivel de ahorro y la productividad del capital. Por ende, y de acuerdo a todo lo anterior, la educación de manera implícita, vía la productividad, afectaba la tasa de crecimiento (esto según qué entendiéramos por capital).</w:t>
      </w:r>
    </w:p>
    <w:p w:rsidR="00E656CC" w:rsidRPr="00CF7780" w:rsidRDefault="00E656CC" w:rsidP="008F771D">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Teorías posteriores, como ya adelantamos, sustituyeron la hipótesis de crecimiento exógeno, planteando en sus modelos que la inversión en capital humano provoca crecimiento endógeno (Lucas, 1988; Romer, 1994). </w:t>
      </w:r>
    </w:p>
    <w:p w:rsidR="00E656CC" w:rsidRPr="00CF7780" w:rsidRDefault="00E656CC" w:rsidP="008F771D">
      <w:pPr>
        <w:spacing w:before="100" w:beforeAutospacing="1" w:after="100" w:afterAutospacing="1"/>
        <w:ind w:firstLine="454"/>
        <w:jc w:val="both"/>
        <w:rPr>
          <w:rFonts w:ascii="Arial" w:hAnsi="Arial" w:cs="Arial"/>
          <w:i/>
          <w:sz w:val="22"/>
          <w:szCs w:val="22"/>
        </w:rPr>
      </w:pPr>
      <w:r w:rsidRPr="00CF7780">
        <w:rPr>
          <w:rFonts w:ascii="Arial" w:hAnsi="Arial" w:cs="Arial"/>
          <w:sz w:val="22"/>
          <w:szCs w:val="22"/>
        </w:rPr>
        <w:t xml:space="preserve">Hay varias alternativas de consideración del crecimiento “endógeno”, entendiendo por tal aquel en el cual las </w:t>
      </w:r>
      <w:r w:rsidRPr="00CF7780">
        <w:rPr>
          <w:rFonts w:ascii="Arial" w:hAnsi="Arial" w:cs="Arial"/>
          <w:i/>
          <w:sz w:val="22"/>
          <w:szCs w:val="22"/>
        </w:rPr>
        <w:t xml:space="preserve">políticas económicas </w:t>
      </w:r>
      <w:r w:rsidRPr="00CF7780">
        <w:rPr>
          <w:rFonts w:ascii="Arial" w:hAnsi="Arial" w:cs="Arial"/>
          <w:sz w:val="22"/>
          <w:szCs w:val="22"/>
        </w:rPr>
        <w:t>seguidas</w:t>
      </w:r>
      <w:r w:rsidRPr="00CF7780">
        <w:rPr>
          <w:rFonts w:ascii="Arial" w:hAnsi="Arial" w:cs="Arial"/>
          <w:i/>
          <w:sz w:val="22"/>
          <w:szCs w:val="22"/>
        </w:rPr>
        <w:t xml:space="preserve"> </w:t>
      </w:r>
      <w:r w:rsidRPr="00CF7780">
        <w:rPr>
          <w:rFonts w:ascii="Arial" w:hAnsi="Arial" w:cs="Arial"/>
          <w:sz w:val="22"/>
          <w:szCs w:val="22"/>
        </w:rPr>
        <w:t xml:space="preserve">pueden influir sobre la tasa de crecimiento de largo plazo. Incluso se ha hablado de modelos de crecimiento “semiendógeno”. Así, por ejemplo, se titula en Jones (1998), el modelo que Romer presenta en 1990, </w:t>
      </w:r>
      <w:r w:rsidRPr="00CF7780">
        <w:rPr>
          <w:rFonts w:ascii="Arial" w:hAnsi="Arial" w:cs="Arial"/>
          <w:i/>
          <w:sz w:val="22"/>
          <w:szCs w:val="22"/>
        </w:rPr>
        <w:t xml:space="preserve">“Endogenous Technological Change”. </w:t>
      </w:r>
    </w:p>
    <w:p w:rsidR="00E656CC" w:rsidRPr="00CF7780" w:rsidRDefault="00E656CC" w:rsidP="008F771D">
      <w:pPr>
        <w:spacing w:before="100" w:beforeAutospacing="1" w:after="100" w:afterAutospacing="1"/>
        <w:ind w:firstLine="709"/>
        <w:jc w:val="both"/>
        <w:rPr>
          <w:rFonts w:ascii="Arial" w:hAnsi="Arial" w:cs="Arial"/>
          <w:sz w:val="22"/>
          <w:szCs w:val="22"/>
          <w:lang w:val="es-AR"/>
        </w:rPr>
      </w:pPr>
      <w:r w:rsidRPr="00CF7780">
        <w:rPr>
          <w:rFonts w:ascii="Arial" w:hAnsi="Arial" w:cs="Arial"/>
          <w:sz w:val="22"/>
          <w:szCs w:val="22"/>
        </w:rPr>
        <w:t>No hay que dejar de lado una reflexión de Jones, que puede aclararnos aspectos difusos en la terminología: “</w:t>
      </w:r>
      <w:r w:rsidRPr="00CF7780">
        <w:rPr>
          <w:rFonts w:ascii="Arial" w:hAnsi="Arial" w:cs="Arial"/>
          <w:i/>
          <w:sz w:val="22"/>
          <w:szCs w:val="22"/>
          <w:lang w:val="es-AR"/>
        </w:rPr>
        <w:t>El crecimiento a largo plazo quizás no sea endógeno (…). Más bien, entendemos el crecimiento económico como el resultado endógeno de una economía en la que los sujetos persiguiendo su propio beneficio (…) buscan ideas más nuevas y mejores. Es evidente que, en tal sentido, el proceso de crecimiento es endógeno”</w:t>
      </w:r>
      <w:r w:rsidRPr="00CF7780">
        <w:rPr>
          <w:rFonts w:ascii="Arial" w:hAnsi="Arial" w:cs="Arial"/>
          <w:sz w:val="22"/>
          <w:szCs w:val="22"/>
          <w:lang w:val="es-AR"/>
        </w:rPr>
        <w:t xml:space="preserve"> (Cfr. Jones, 1998). </w:t>
      </w:r>
    </w:p>
    <w:p w:rsidR="00E656CC" w:rsidRPr="00CF7780" w:rsidRDefault="00E656CC" w:rsidP="008F771D">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Ahora bien, como es bien sabido, la mayor parte de la literatura ha mostrado evidencia empírica en favor de la </w:t>
      </w:r>
      <w:r w:rsidRPr="00CF7780">
        <w:rPr>
          <w:rFonts w:ascii="Arial" w:hAnsi="Arial" w:cs="Arial"/>
          <w:b/>
          <w:sz w:val="22"/>
          <w:szCs w:val="22"/>
        </w:rPr>
        <w:t>convergencia condicional</w:t>
      </w:r>
      <w:r w:rsidRPr="00CF7780">
        <w:rPr>
          <w:rFonts w:ascii="Arial" w:hAnsi="Arial" w:cs="Arial"/>
          <w:i/>
          <w:sz w:val="22"/>
          <w:szCs w:val="22"/>
        </w:rPr>
        <w:t xml:space="preserve"> en el ámbito internacional</w:t>
      </w:r>
      <w:r w:rsidRPr="00CF7780">
        <w:rPr>
          <w:rFonts w:ascii="Arial" w:hAnsi="Arial" w:cs="Arial"/>
          <w:sz w:val="22"/>
          <w:szCs w:val="22"/>
        </w:rPr>
        <w:t xml:space="preserve"> y</w:t>
      </w:r>
      <w:r w:rsidRPr="00CF7780">
        <w:rPr>
          <w:rFonts w:ascii="Arial" w:hAnsi="Arial" w:cs="Arial"/>
          <w:b/>
          <w:i/>
          <w:sz w:val="22"/>
          <w:szCs w:val="22"/>
        </w:rPr>
        <w:t xml:space="preserve"> convergencia absoluta a escala regional</w:t>
      </w:r>
      <w:r w:rsidRPr="00CF7780">
        <w:rPr>
          <w:rFonts w:ascii="Arial" w:hAnsi="Arial" w:cs="Arial"/>
          <w:sz w:val="22"/>
          <w:szCs w:val="22"/>
        </w:rPr>
        <w:t xml:space="preserve">. Sin embargo, en el caso argentino en particular, diversos estudios han apuntado a que </w:t>
      </w:r>
      <w:r w:rsidRPr="00CF7780">
        <w:rPr>
          <w:rFonts w:ascii="Arial" w:hAnsi="Arial" w:cs="Arial"/>
          <w:b/>
          <w:sz w:val="22"/>
          <w:szCs w:val="22"/>
        </w:rPr>
        <w:t xml:space="preserve">la convergencia parece existir </w:t>
      </w:r>
      <w:r w:rsidRPr="00CF7780">
        <w:rPr>
          <w:rFonts w:ascii="Arial" w:hAnsi="Arial" w:cs="Arial"/>
          <w:sz w:val="22"/>
          <w:szCs w:val="22"/>
        </w:rPr>
        <w:t xml:space="preserve">(hasta fines del siglo XX) </w:t>
      </w:r>
      <w:r w:rsidRPr="00CF7780">
        <w:rPr>
          <w:rFonts w:ascii="Arial" w:hAnsi="Arial" w:cs="Arial"/>
          <w:b/>
          <w:sz w:val="22"/>
          <w:szCs w:val="22"/>
        </w:rPr>
        <w:t xml:space="preserve">entre provincias, </w:t>
      </w:r>
      <w:r w:rsidRPr="00CF7780">
        <w:rPr>
          <w:rFonts w:ascii="Arial" w:hAnsi="Arial" w:cs="Arial"/>
          <w:b/>
          <w:i/>
          <w:sz w:val="22"/>
          <w:szCs w:val="22"/>
        </w:rPr>
        <w:t>si bien condicionada</w:t>
      </w:r>
      <w:r w:rsidRPr="00CF7780">
        <w:rPr>
          <w:rFonts w:ascii="Arial" w:hAnsi="Arial" w:cs="Arial"/>
          <w:i/>
          <w:sz w:val="22"/>
          <w:szCs w:val="22"/>
        </w:rPr>
        <w:t xml:space="preserve"> (y no absoluta, pese a tratarse de un ámbito sub-nacional).</w:t>
      </w:r>
    </w:p>
    <w:p w:rsidR="00E656CC" w:rsidRPr="00CF7780" w:rsidRDefault="00E656CC" w:rsidP="008F771D">
      <w:pPr>
        <w:pStyle w:val="BodyText"/>
        <w:spacing w:before="100" w:beforeAutospacing="1" w:after="100" w:afterAutospacing="1"/>
        <w:ind w:firstLine="709"/>
        <w:rPr>
          <w:rFonts w:ascii="Arial" w:hAnsi="Arial" w:cs="Arial"/>
          <w:sz w:val="22"/>
          <w:szCs w:val="22"/>
        </w:rPr>
      </w:pPr>
      <w:r w:rsidRPr="00CF7780">
        <w:rPr>
          <w:rFonts w:ascii="Arial" w:hAnsi="Arial" w:cs="Arial"/>
          <w:sz w:val="22"/>
          <w:szCs w:val="22"/>
        </w:rPr>
        <w:t xml:space="preserve">Cabe señalar que a diferencia del plano internacional, en el caso regional, nos encontramos con grandes limitaciones en la disponibilidad de datos para las variables condicionantes. Una posibilidad para superar esta limitación es efectuar </w:t>
      </w:r>
      <w:r w:rsidRPr="00CF7780">
        <w:rPr>
          <w:rFonts w:ascii="Arial" w:hAnsi="Arial" w:cs="Arial"/>
          <w:b/>
          <w:sz w:val="22"/>
          <w:szCs w:val="22"/>
        </w:rPr>
        <w:t>el contraste de Beta en un panel de datos,</w:t>
      </w:r>
      <w:r w:rsidRPr="00CF7780">
        <w:rPr>
          <w:rFonts w:ascii="Arial" w:hAnsi="Arial" w:cs="Arial"/>
          <w:sz w:val="22"/>
          <w:szCs w:val="22"/>
        </w:rPr>
        <w:t xml:space="preserve"> en el cual </w:t>
      </w:r>
      <w:r w:rsidRPr="00CF7780">
        <w:rPr>
          <w:rFonts w:ascii="Arial" w:hAnsi="Arial" w:cs="Arial"/>
          <w:b/>
          <w:sz w:val="22"/>
          <w:szCs w:val="22"/>
        </w:rPr>
        <w:t>podamos controlar por efectos fijos regionales</w:t>
      </w:r>
      <w:r w:rsidRPr="00CF7780">
        <w:rPr>
          <w:rFonts w:ascii="Arial" w:hAnsi="Arial" w:cs="Arial"/>
          <w:sz w:val="22"/>
          <w:szCs w:val="22"/>
        </w:rPr>
        <w:t xml:space="preserve"> (esos efectos aproximarían cualquier diferencia </w:t>
      </w:r>
      <w:r w:rsidRPr="00CF7780">
        <w:rPr>
          <w:rFonts w:ascii="Arial" w:hAnsi="Arial" w:cs="Arial"/>
          <w:i/>
          <w:sz w:val="22"/>
          <w:szCs w:val="22"/>
        </w:rPr>
        <w:t>inobservable</w:t>
      </w:r>
      <w:r w:rsidRPr="00CF7780">
        <w:rPr>
          <w:rFonts w:ascii="Arial" w:hAnsi="Arial" w:cs="Arial"/>
          <w:sz w:val="22"/>
          <w:szCs w:val="22"/>
        </w:rPr>
        <w:t xml:space="preserve"> en los estados estacionarios de las economías consideradas). </w:t>
      </w:r>
    </w:p>
    <w:p w:rsidR="00E656CC" w:rsidRPr="00CF7780" w:rsidRDefault="00E656CC" w:rsidP="008F771D">
      <w:pPr>
        <w:pStyle w:val="Heading2"/>
        <w:keepLines/>
        <w:numPr>
          <w:ilvl w:val="0"/>
          <w:numId w:val="0"/>
        </w:numPr>
        <w:spacing w:before="100" w:beforeAutospacing="1" w:after="100" w:afterAutospacing="1"/>
        <w:ind w:left="454" w:hanging="397"/>
        <w:rPr>
          <w:rFonts w:cs="Arial"/>
          <w:sz w:val="22"/>
          <w:szCs w:val="22"/>
          <w:lang w:val="es-AR"/>
        </w:rPr>
      </w:pPr>
      <w:r w:rsidRPr="00CF7780">
        <w:rPr>
          <w:rFonts w:cs="Arial"/>
          <w:sz w:val="22"/>
          <w:szCs w:val="22"/>
          <w:lang w:val="es-AR"/>
        </w:rPr>
        <w:t xml:space="preserve">III. Vínculo entre educación y crecimiento </w:t>
      </w:r>
    </w:p>
    <w:p w:rsidR="00E656CC" w:rsidRPr="00CF7780" w:rsidRDefault="00E656CC" w:rsidP="008F771D">
      <w:pPr>
        <w:spacing w:before="100" w:beforeAutospacing="1" w:after="100" w:afterAutospacing="1"/>
        <w:ind w:firstLine="708"/>
        <w:jc w:val="both"/>
        <w:rPr>
          <w:rFonts w:ascii="Arial" w:hAnsi="Arial" w:cs="Arial"/>
          <w:i/>
          <w:sz w:val="22"/>
          <w:szCs w:val="22"/>
          <w:lang w:val="es-AR"/>
        </w:rPr>
      </w:pPr>
      <w:r w:rsidRPr="00CF7780">
        <w:rPr>
          <w:rFonts w:ascii="Arial" w:hAnsi="Arial" w:cs="Arial"/>
          <w:sz w:val="22"/>
          <w:szCs w:val="22"/>
          <w:lang w:val="es-AR"/>
        </w:rPr>
        <w:t xml:space="preserve">Tiempo atrás, los aspectos educativos no eran considerados realmente centrales en la obsesiva lucha por el crecimiento, ni para el desarrollo. Un ejemplo de esto es que el texto de Hesse y Sautter, </w:t>
      </w:r>
      <w:r w:rsidRPr="00CF7780">
        <w:rPr>
          <w:rFonts w:ascii="Arial" w:hAnsi="Arial" w:cs="Arial"/>
          <w:i/>
          <w:sz w:val="22"/>
          <w:szCs w:val="22"/>
          <w:lang w:val="es-AR"/>
        </w:rPr>
        <w:t>Entwicklungstheorie und politik</w:t>
      </w:r>
      <w:r w:rsidRPr="00CF7780">
        <w:rPr>
          <w:rFonts w:ascii="Arial" w:hAnsi="Arial" w:cs="Arial"/>
          <w:sz w:val="22"/>
          <w:szCs w:val="22"/>
          <w:lang w:val="es-AR"/>
        </w:rPr>
        <w:t xml:space="preserve"> (La Teoría y la Política de Desarrollo), publicado a mediados de los años </w:t>
      </w:r>
      <w:r w:rsidRPr="00CF7780">
        <w:rPr>
          <w:rFonts w:ascii="Arial" w:hAnsi="Arial" w:cs="Arial"/>
          <w:sz w:val="22"/>
          <w:szCs w:val="22"/>
          <w:lang w:val="es-AR"/>
        </w:rPr>
        <w:sym w:font="Symbol" w:char="F0A2"/>
      </w:r>
      <w:r w:rsidRPr="00CF7780">
        <w:rPr>
          <w:rFonts w:ascii="Arial" w:hAnsi="Arial" w:cs="Arial"/>
          <w:sz w:val="22"/>
          <w:szCs w:val="22"/>
          <w:lang w:val="es-AR"/>
        </w:rPr>
        <w:t xml:space="preserve">70, enumera en su índice los diversos problemas que los países enfrentan para lograr la meta del desarrollo: el problema demográfico, el problema del capital físico, el problema del comercio exterior, el problema de la inflación, el problema de la distribución, el problema del empleo, el problema de la dependencia…, pero de la educación ni una palabra. Aunque hubo dignas excepciones, como Owens y Shaw (1972), quienes dedican el Capítulo </w:t>
      </w:r>
      <w:smartTag w:uri="urn:schemas-microsoft-com:office:smarttags" w:element="metricconverter">
        <w:smartTagPr>
          <w:attr w:name="ProductID" w:val="7 a"/>
        </w:smartTagPr>
        <w:r w:rsidRPr="00CF7780">
          <w:rPr>
            <w:rFonts w:ascii="Arial" w:hAnsi="Arial" w:cs="Arial"/>
            <w:sz w:val="22"/>
            <w:szCs w:val="22"/>
            <w:lang w:val="es-AR"/>
          </w:rPr>
          <w:t>7 a</w:t>
        </w:r>
      </w:smartTag>
      <w:r w:rsidRPr="00CF7780">
        <w:rPr>
          <w:rFonts w:ascii="Arial" w:hAnsi="Arial" w:cs="Arial"/>
          <w:sz w:val="22"/>
          <w:szCs w:val="22"/>
          <w:lang w:val="es-AR"/>
        </w:rPr>
        <w:t xml:space="preserve"> reflexionar sobre el impacto de la </w:t>
      </w:r>
      <w:r w:rsidRPr="00CF7780">
        <w:rPr>
          <w:rFonts w:ascii="Arial" w:hAnsi="Arial" w:cs="Arial"/>
          <w:i/>
          <w:sz w:val="22"/>
          <w:szCs w:val="22"/>
          <w:lang w:val="es-AR"/>
        </w:rPr>
        <w:t>educación no formal</w:t>
      </w:r>
      <w:r w:rsidRPr="00CF7780">
        <w:rPr>
          <w:rFonts w:ascii="Arial" w:hAnsi="Arial" w:cs="Arial"/>
          <w:sz w:val="22"/>
          <w:szCs w:val="22"/>
          <w:lang w:val="es-AR"/>
        </w:rPr>
        <w:t xml:space="preserve"> sobre el proceso de </w:t>
      </w:r>
      <w:r w:rsidRPr="00CF7780">
        <w:rPr>
          <w:rFonts w:ascii="Arial" w:hAnsi="Arial" w:cs="Arial"/>
          <w:i/>
          <w:sz w:val="22"/>
          <w:szCs w:val="22"/>
          <w:lang w:val="es-AR"/>
        </w:rPr>
        <w:t>desarrollo.</w:t>
      </w:r>
    </w:p>
    <w:p w:rsidR="00E656CC" w:rsidRPr="00CF7780" w:rsidRDefault="00E656CC" w:rsidP="008F771D">
      <w:pPr>
        <w:spacing w:before="100" w:beforeAutospacing="1" w:after="100" w:afterAutospacing="1"/>
        <w:ind w:firstLine="708"/>
        <w:jc w:val="both"/>
        <w:rPr>
          <w:rFonts w:ascii="Arial" w:hAnsi="Arial" w:cs="Arial"/>
          <w:sz w:val="22"/>
          <w:szCs w:val="22"/>
          <w:lang w:val="es-AR"/>
        </w:rPr>
      </w:pPr>
      <w:r w:rsidRPr="00CF7780">
        <w:rPr>
          <w:rFonts w:ascii="Arial" w:hAnsi="Arial" w:cs="Arial"/>
          <w:sz w:val="22"/>
          <w:szCs w:val="22"/>
          <w:lang w:val="es-AR"/>
        </w:rPr>
        <w:t xml:space="preserve">Pero, en las últimas décadas, decenas de estudios han mostrado que una gran parte del crecimiento de las economías durante el siglo XX no encuentran explicación si se relaciona tal crecimiento solamente con los aumentos en el capital físico y en la cantidad de trabajo; y que el “residuo” debe atribuirse a </w:t>
      </w:r>
      <w:r w:rsidRPr="00CF7780">
        <w:rPr>
          <w:rFonts w:ascii="Arial" w:hAnsi="Arial" w:cs="Arial"/>
          <w:b/>
          <w:sz w:val="22"/>
          <w:szCs w:val="22"/>
          <w:lang w:val="es-AR"/>
        </w:rPr>
        <w:t>mejoras en la calidad de los factores de producción</w:t>
      </w:r>
      <w:r w:rsidRPr="00CF7780">
        <w:rPr>
          <w:rFonts w:ascii="Arial" w:hAnsi="Arial" w:cs="Arial"/>
          <w:sz w:val="22"/>
          <w:szCs w:val="22"/>
          <w:lang w:val="es-AR"/>
        </w:rPr>
        <w:t xml:space="preserve"> y especialmente del trabajo. Esta mejora en la calidad del trabajo se atribuye, a su vez, a la educación, por lo que, bien mirado, su gasto debería tratarse como inversión en capital humano (al menos una buena parte del gasto ejecutado en el rubro educación). Análogamente, </w:t>
      </w:r>
      <w:r w:rsidRPr="00CF7780">
        <w:rPr>
          <w:rFonts w:ascii="Arial" w:hAnsi="Arial" w:cs="Arial"/>
          <w:b/>
          <w:sz w:val="22"/>
          <w:szCs w:val="22"/>
          <w:lang w:val="es-AR"/>
        </w:rPr>
        <w:t>también contribuyen al crecimiento económico las mejoras en las condiciones de sanidad</w:t>
      </w:r>
      <w:r w:rsidRPr="00CF7780">
        <w:rPr>
          <w:rFonts w:ascii="Arial" w:hAnsi="Arial" w:cs="Arial"/>
          <w:sz w:val="22"/>
          <w:szCs w:val="22"/>
          <w:lang w:val="es-AR"/>
        </w:rPr>
        <w:t>, pues acrecentaría la calidad del capital humano.</w:t>
      </w:r>
    </w:p>
    <w:p w:rsidR="00E656CC" w:rsidRPr="00CF7780" w:rsidRDefault="00E656CC" w:rsidP="008F771D">
      <w:pPr>
        <w:spacing w:before="100" w:beforeAutospacing="1" w:after="100" w:afterAutospacing="1"/>
        <w:ind w:firstLine="709"/>
        <w:jc w:val="both"/>
        <w:rPr>
          <w:rFonts w:ascii="Arial" w:hAnsi="Arial" w:cs="Arial"/>
          <w:sz w:val="22"/>
          <w:szCs w:val="22"/>
          <w:lang w:val="es-MX"/>
        </w:rPr>
      </w:pPr>
      <w:r w:rsidRPr="00CF7780">
        <w:rPr>
          <w:rFonts w:ascii="Arial" w:hAnsi="Arial" w:cs="Arial"/>
          <w:sz w:val="22"/>
          <w:szCs w:val="22"/>
        </w:rPr>
        <w:t xml:space="preserve">Diversos autores han tratado puntualmente este tema, particularmente entre países. Barro y Lee (1994) analizan las fuentes de crecimiento económico, encontrando un efecto de convergencia condicional en el cual un país crece más rápido si comienza con un nivel de PBI per capita relativo a su nivel de capital humano (en la forma de logros educativos y salud) más bajo. </w:t>
      </w:r>
      <w:r w:rsidRPr="00CF7780">
        <w:rPr>
          <w:rFonts w:ascii="Arial" w:hAnsi="Arial" w:cs="Arial"/>
          <w:sz w:val="22"/>
          <w:szCs w:val="22"/>
          <w:lang w:val="es-MX"/>
        </w:rPr>
        <w:t xml:space="preserve">Gemmell (1996) se focaliza en el efecto del capital humano sobre el crecimiento. En su trabajo, se encuentran importantes efectos del </w:t>
      </w:r>
      <w:r w:rsidRPr="00CF7780">
        <w:rPr>
          <w:rFonts w:ascii="Arial" w:hAnsi="Arial" w:cs="Arial"/>
          <w:i/>
          <w:sz w:val="22"/>
          <w:szCs w:val="22"/>
          <w:lang w:val="es-MX"/>
        </w:rPr>
        <w:t>stock inicial</w:t>
      </w:r>
      <w:r w:rsidRPr="00CF7780">
        <w:rPr>
          <w:rFonts w:ascii="Arial" w:hAnsi="Arial" w:cs="Arial"/>
          <w:sz w:val="22"/>
          <w:szCs w:val="22"/>
          <w:lang w:val="es-MX"/>
        </w:rPr>
        <w:t xml:space="preserve"> de capital humano sobre el crecimiento, destacándose el variable rol de los diferentes niveles de educación entre países según sean los distintos estadios de crecimiento (países menos desarrollados más pobres, países menos desarrollados intermedios y países de la OCDE). Se observa que el efecto de la educación primaria y secundaria parece ser más importante en los países menos desarrollados, en tanto que los efectos del nivel superior son más fuertes en los países desarrollados.</w:t>
      </w:r>
    </w:p>
    <w:p w:rsidR="00E656CC" w:rsidRPr="00CF7780" w:rsidRDefault="00E656CC" w:rsidP="008F771D">
      <w:pPr>
        <w:spacing w:before="100" w:beforeAutospacing="1" w:after="100" w:afterAutospacing="1"/>
        <w:ind w:firstLine="709"/>
        <w:jc w:val="both"/>
        <w:rPr>
          <w:rFonts w:ascii="Arial" w:hAnsi="Arial" w:cs="Arial"/>
          <w:sz w:val="22"/>
          <w:szCs w:val="22"/>
          <w:lang w:val="es-MX"/>
        </w:rPr>
      </w:pPr>
      <w:r w:rsidRPr="00CF7780">
        <w:rPr>
          <w:rFonts w:ascii="Arial" w:hAnsi="Arial" w:cs="Arial"/>
          <w:sz w:val="22"/>
          <w:szCs w:val="22"/>
          <w:lang w:val="es-MX"/>
        </w:rPr>
        <w:t xml:space="preserve">Keller (2006) también estudia a nivel de países el efecto de la educación sobre el crecimiento per capita, encontrando efectos significativos de las variables matriculación en educación secundaria y superior, y gasto en educación primaria.  </w:t>
      </w:r>
    </w:p>
    <w:p w:rsidR="00E656CC" w:rsidRPr="00CF7780" w:rsidRDefault="00E656CC" w:rsidP="008F771D">
      <w:pPr>
        <w:spacing w:before="100" w:beforeAutospacing="1" w:after="100" w:afterAutospacing="1"/>
        <w:ind w:firstLine="709"/>
        <w:jc w:val="both"/>
        <w:rPr>
          <w:rFonts w:ascii="Arial" w:hAnsi="Arial" w:cs="Arial"/>
          <w:sz w:val="22"/>
          <w:szCs w:val="22"/>
          <w:lang w:val="es-AR"/>
        </w:rPr>
      </w:pPr>
      <w:r w:rsidRPr="00CF7780">
        <w:rPr>
          <w:rFonts w:ascii="Arial" w:hAnsi="Arial" w:cs="Arial"/>
          <w:sz w:val="22"/>
          <w:szCs w:val="22"/>
          <w:lang w:val="es-MX"/>
        </w:rPr>
        <w:t xml:space="preserve">Hanushek y Woessmann (2010) encuentran una relación significativa entre el logro educativo y el crecimiento del PIB, que resulta estable entre muestras de países y periodos. </w:t>
      </w:r>
      <w:r w:rsidRPr="00CF7780">
        <w:rPr>
          <w:rFonts w:ascii="Arial" w:hAnsi="Arial" w:cs="Arial"/>
          <w:sz w:val="22"/>
          <w:szCs w:val="22"/>
          <w:lang w:val="es-AR"/>
        </w:rPr>
        <w:t xml:space="preserve">Analizan, además, la relación de las habilidades cognitivas con el crecimiento. Barro (2013) estudia asimismo el capital humano como determinante del crecimiento económico, focalizándose en la cantidad y calidad de la educación. En lo concerniente a la cantidad de educación, el trabajo encuentra que el crecimiento está positivamente relacionado con el nivel de años promedio de escolaridad alcanzado por los hombres en educación secundaria y superior, en tanto que en el caso de las mujeres este vínculo no es significativo. En cuanto a calidad educativa, encuentra una fuerte relación positiva entre los puntajes en las pruebas de ciencia y el crecimiento económico. </w:t>
      </w:r>
    </w:p>
    <w:p w:rsidR="00E656CC" w:rsidRPr="00CF7780" w:rsidRDefault="00E656CC" w:rsidP="008F771D">
      <w:pPr>
        <w:spacing w:before="100" w:beforeAutospacing="1" w:after="100" w:afterAutospacing="1"/>
        <w:ind w:firstLine="709"/>
        <w:jc w:val="both"/>
        <w:rPr>
          <w:rFonts w:ascii="Arial" w:hAnsi="Arial" w:cs="Arial"/>
          <w:sz w:val="22"/>
          <w:szCs w:val="22"/>
          <w:lang w:val="es-AR"/>
        </w:rPr>
      </w:pPr>
      <w:r w:rsidRPr="00CF7780">
        <w:rPr>
          <w:rFonts w:ascii="Arial" w:hAnsi="Arial" w:cs="Arial"/>
          <w:sz w:val="22"/>
          <w:szCs w:val="22"/>
          <w:lang w:val="es-AR"/>
        </w:rPr>
        <w:t xml:space="preserve">En un análisis regional, para el caso de Canadá, Coulombe y Tremblay (2001) utiliza un modelo de crecimiento </w:t>
      </w:r>
      <w:r w:rsidRPr="00CF7780">
        <w:rPr>
          <w:rFonts w:ascii="Arial" w:hAnsi="Arial" w:cs="Arial"/>
          <w:i/>
          <w:sz w:val="22"/>
          <w:szCs w:val="22"/>
          <w:lang w:val="es-AR"/>
        </w:rPr>
        <w:t>à la Barro</w:t>
      </w:r>
      <w:r w:rsidRPr="00CF7780">
        <w:rPr>
          <w:rFonts w:ascii="Arial" w:hAnsi="Arial" w:cs="Arial"/>
          <w:sz w:val="22"/>
          <w:szCs w:val="22"/>
          <w:lang w:val="es-AR"/>
        </w:rPr>
        <w:t xml:space="preserve"> para estudiar el efecto de la acumulación del capital humano sobre el crecimiento del ingreso per capita. Los resultados empíricos indican que el stock de capital humano converge a la misma tasa de crecimiento que el ingreso per capita. </w:t>
      </w:r>
    </w:p>
    <w:p w:rsidR="00E656CC" w:rsidRPr="00CF7780" w:rsidRDefault="00E656CC" w:rsidP="008F771D">
      <w:pPr>
        <w:shd w:val="clear" w:color="auto" w:fill="FFFFFF"/>
        <w:spacing w:before="100" w:beforeAutospacing="1" w:after="100" w:afterAutospacing="1"/>
        <w:ind w:firstLine="708"/>
        <w:jc w:val="both"/>
        <w:rPr>
          <w:rFonts w:ascii="Arial" w:hAnsi="Arial" w:cs="Arial"/>
          <w:sz w:val="22"/>
          <w:szCs w:val="22"/>
          <w:lang w:val="es-AR" w:eastAsia="es-AR"/>
        </w:rPr>
      </w:pPr>
      <w:r w:rsidRPr="00CF7780">
        <w:rPr>
          <w:rFonts w:ascii="Arial" w:hAnsi="Arial" w:cs="Arial"/>
          <w:sz w:val="22"/>
          <w:szCs w:val="22"/>
          <w:lang w:val="es-AR" w:eastAsia="es-AR"/>
        </w:rPr>
        <w:t>En Bils y Klenow (2000) se señala que un buen número de economistas encuentra que el crecimiento y la escolaridad están altamente conectados según estudios de diferentes países. Los autores exploran un modelo en el que la capacidad del capital humano de las personas adultas juega un papel primordial en el crecimiento (detectando pues una conexión entre escolarización y crecimiento, en esa dirección). Utilizando un modelo de Mincer, sobre los retornos de la educación, se cuantifica tal efecto de escolarización sobre el fenómeno del crecimiento; y se concluye en que el impacto de la escolaridad sobre el crecimiento </w:t>
      </w:r>
      <w:r w:rsidRPr="00CF7780">
        <w:rPr>
          <w:rFonts w:ascii="Arial" w:hAnsi="Arial" w:cs="Arial"/>
          <w:i/>
          <w:iCs/>
          <w:sz w:val="22"/>
          <w:szCs w:val="22"/>
          <w:lang w:val="es-AR" w:eastAsia="es-AR"/>
        </w:rPr>
        <w:t>explica menos de un tercio del crecimiento registrado</w:t>
      </w:r>
      <w:r w:rsidRPr="00CF7780">
        <w:rPr>
          <w:rFonts w:ascii="Arial" w:hAnsi="Arial" w:cs="Arial"/>
          <w:sz w:val="22"/>
          <w:szCs w:val="22"/>
          <w:lang w:val="es-AR" w:eastAsia="es-AR"/>
        </w:rPr>
        <w:t xml:space="preserve"> en los países investigados en la muestra. </w:t>
      </w:r>
    </w:p>
    <w:p w:rsidR="00E656CC" w:rsidRPr="00CF7780" w:rsidRDefault="00E656CC" w:rsidP="008F771D">
      <w:pPr>
        <w:shd w:val="clear" w:color="auto" w:fill="FFFFFF"/>
        <w:spacing w:before="100" w:beforeAutospacing="1" w:after="100" w:afterAutospacing="1"/>
        <w:ind w:firstLine="708"/>
        <w:jc w:val="both"/>
        <w:rPr>
          <w:rFonts w:ascii="Arial" w:hAnsi="Arial" w:cs="Arial"/>
          <w:sz w:val="22"/>
          <w:szCs w:val="22"/>
          <w:lang w:val="es-AR" w:eastAsia="es-ES"/>
        </w:rPr>
      </w:pPr>
      <w:r w:rsidRPr="00CF7780">
        <w:rPr>
          <w:rFonts w:ascii="Arial" w:hAnsi="Arial" w:cs="Arial"/>
          <w:sz w:val="22"/>
          <w:szCs w:val="22"/>
          <w:lang w:val="es-AR" w:eastAsia="es-AR"/>
        </w:rPr>
        <w:t xml:space="preserve">Como consecuencia de este porcentaje, que no estaría en línea con los valores esperados, Bils y Klenow plantean posibilidades que brinden razón de ese bajo valor del coeficiente. Atentos a la situación, encuentran que una de las explicaciones puede estar en la posibilidad de la presencia de </w:t>
      </w:r>
      <w:r w:rsidRPr="00CF7780">
        <w:rPr>
          <w:rFonts w:ascii="Arial" w:hAnsi="Arial"/>
          <w:i/>
          <w:sz w:val="22"/>
          <w:lang w:val="es-AR"/>
        </w:rPr>
        <w:t>una causalidad inversa.</w:t>
      </w:r>
      <w:r w:rsidRPr="00CF7780">
        <w:rPr>
          <w:rFonts w:ascii="Arial" w:hAnsi="Arial" w:cs="Arial"/>
          <w:sz w:val="22"/>
          <w:szCs w:val="22"/>
          <w:lang w:val="es-AR" w:eastAsia="es-AR"/>
        </w:rPr>
        <w:t xml:space="preserve"> Esto es, de crecimiento a nivel de escolarización. Otra alternativa que los autores apuntan es la presencia de factores omitidos. Por tanto, a esta altura surge un punto relevante: ¿no influye, a su vez, </w:t>
      </w:r>
      <w:r w:rsidRPr="00CF7780">
        <w:rPr>
          <w:rFonts w:ascii="Arial" w:hAnsi="Arial" w:cs="Arial"/>
          <w:i/>
          <w:sz w:val="22"/>
          <w:szCs w:val="22"/>
          <w:lang w:val="es-AR" w:eastAsia="es-AR"/>
        </w:rPr>
        <w:t>el crecimiento sobre la formación de capital humano</w:t>
      </w:r>
      <w:r w:rsidRPr="00CF7780">
        <w:rPr>
          <w:rFonts w:ascii="Arial" w:hAnsi="Arial" w:cs="Arial"/>
          <w:sz w:val="22"/>
          <w:szCs w:val="22"/>
          <w:lang w:val="es-AR" w:eastAsia="es-AR"/>
        </w:rPr>
        <w:t>, medido para el caso vía la escolaridad; y, por tanto, se daría una circularidad? Es decir que, no</w:t>
      </w:r>
      <w:r w:rsidRPr="00CF7780">
        <w:rPr>
          <w:rFonts w:ascii="Arial" w:hAnsi="Arial" w:cs="Arial"/>
          <w:sz w:val="22"/>
          <w:szCs w:val="22"/>
          <w:lang w:val="es-AR" w:eastAsia="es-ES"/>
        </w:rPr>
        <w:t xml:space="preserve"> puede descartarse la posibilidad de una causalidad inversa (esto es, del crecimiento como determinante del capital humano).  </w:t>
      </w:r>
    </w:p>
    <w:p w:rsidR="00E656CC" w:rsidRPr="00CF7780" w:rsidRDefault="00E656CC" w:rsidP="008F77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hAnsi="Arial" w:cs="Arial"/>
          <w:sz w:val="22"/>
          <w:szCs w:val="22"/>
          <w:lang w:eastAsia="es-AR"/>
        </w:rPr>
      </w:pPr>
      <w:r w:rsidRPr="00CF7780">
        <w:rPr>
          <w:rFonts w:ascii="Arial" w:hAnsi="Arial" w:cs="Arial"/>
          <w:sz w:val="22"/>
          <w:szCs w:val="22"/>
          <w:lang w:eastAsia="es-AR"/>
        </w:rPr>
        <w:tab/>
        <w:t>Cabe mencionar, como un elemento no menor, la complejidad de medir el nivel de capital humano. Existen distintas alternativas de medición de este particular capital. Es nuestro propósito explorar este nada trivial aspecto en base al índice multidimensional de Portela (2001), o bien en base a la propuesta que realizan Arrazola y Hevia (2001).</w:t>
      </w:r>
    </w:p>
    <w:p w:rsidR="00E656CC" w:rsidRPr="00CF7780" w:rsidRDefault="00E656CC" w:rsidP="00863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hAnsi="Arial" w:cs="Arial"/>
          <w:sz w:val="22"/>
          <w:szCs w:val="22"/>
        </w:rPr>
      </w:pPr>
      <w:r w:rsidRPr="00CF7780">
        <w:rPr>
          <w:rFonts w:ascii="Arial" w:hAnsi="Arial" w:cs="Arial"/>
          <w:sz w:val="22"/>
          <w:szCs w:val="22"/>
          <w:lang w:eastAsia="es-AR"/>
        </w:rPr>
        <w:tab/>
        <w:t xml:space="preserve">Nuestro objetivo, en esta investigación dentro de las líneas relatadas, es avanzar empíricamente por la vía de la relación del </w:t>
      </w:r>
      <w:r w:rsidRPr="00CF7780">
        <w:rPr>
          <w:rFonts w:ascii="Arial" w:hAnsi="Arial"/>
          <w:b/>
          <w:sz w:val="22"/>
        </w:rPr>
        <w:t>capital humano como determinante de la tasa de crecimiento</w:t>
      </w:r>
      <w:r w:rsidRPr="00CF7780">
        <w:rPr>
          <w:rFonts w:ascii="Arial" w:hAnsi="Arial" w:cs="Arial"/>
          <w:sz w:val="22"/>
          <w:szCs w:val="22"/>
          <w:lang w:eastAsia="es-AR"/>
        </w:rPr>
        <w:t xml:space="preserve">. </w:t>
      </w:r>
      <w:r w:rsidRPr="00CF7780">
        <w:rPr>
          <w:rFonts w:ascii="Arial" w:hAnsi="Arial" w:cs="Arial"/>
          <w:sz w:val="22"/>
          <w:szCs w:val="22"/>
        </w:rPr>
        <w:t>Se analizarán los efectos de la educación sobre el crecimiento con un modelo de crecimiento à la Barro-Sala-i-Martin, estudiando adicionalmente aspectos de la convergencia Beta de las provincias argentinas a través de las regresiones habituales. Se trabajará con datos de panel en el periodo 1996-2014, empleando modelos de efectos fijos y, p</w:t>
      </w:r>
      <w:r w:rsidRPr="00CF7780">
        <w:rPr>
          <w:rFonts w:ascii="Arial" w:hAnsi="Arial" w:cs="Arial"/>
          <w:sz w:val="22"/>
          <w:szCs w:val="22"/>
          <w:lang w:eastAsia="es-ES"/>
        </w:rPr>
        <w:t>ara salvar el potencial fenómeno de endogeneidad se utilizarán también variables instrumentales</w:t>
      </w:r>
      <w:r w:rsidRPr="00CF7780">
        <w:rPr>
          <w:rStyle w:val="FootnoteReference"/>
          <w:rFonts w:ascii="Arial" w:hAnsi="Arial" w:cs="Arial"/>
          <w:sz w:val="22"/>
          <w:szCs w:val="22"/>
          <w:lang w:eastAsia="es-ES"/>
        </w:rPr>
        <w:footnoteReference w:id="3"/>
      </w:r>
      <w:r w:rsidRPr="00CF7780">
        <w:rPr>
          <w:rFonts w:ascii="Arial" w:hAnsi="Arial" w:cs="Arial"/>
          <w:sz w:val="22"/>
          <w:szCs w:val="22"/>
          <w:lang w:eastAsia="es-ES"/>
        </w:rPr>
        <w:t>.</w:t>
      </w:r>
    </w:p>
    <w:p w:rsidR="00E656CC" w:rsidRPr="00CF7780" w:rsidRDefault="00E656CC" w:rsidP="008F771D">
      <w:pPr>
        <w:pStyle w:val="Heading2"/>
        <w:keepLines/>
        <w:numPr>
          <w:ilvl w:val="0"/>
          <w:numId w:val="0"/>
        </w:numPr>
        <w:spacing w:before="100" w:beforeAutospacing="1" w:after="100" w:afterAutospacing="1"/>
        <w:ind w:left="454" w:hanging="397"/>
        <w:rPr>
          <w:rFonts w:cs="Arial"/>
          <w:sz w:val="22"/>
          <w:szCs w:val="22"/>
          <w:lang w:val="es-AR"/>
        </w:rPr>
      </w:pPr>
      <w:r w:rsidRPr="00CF7780">
        <w:rPr>
          <w:rFonts w:cs="Arial"/>
          <w:sz w:val="22"/>
          <w:szCs w:val="22"/>
          <w:lang w:val="es-AR"/>
        </w:rPr>
        <w:t xml:space="preserve">IV. El modelo </w:t>
      </w:r>
    </w:p>
    <w:p w:rsidR="00E656CC" w:rsidRPr="00CF7780" w:rsidRDefault="00E656CC" w:rsidP="00514640">
      <w:pPr>
        <w:spacing w:before="100" w:beforeAutospacing="1" w:after="100" w:afterAutospacing="1"/>
        <w:ind w:firstLine="709"/>
        <w:jc w:val="both"/>
        <w:rPr>
          <w:rFonts w:ascii="Arial" w:hAnsi="Arial" w:cs="Arial"/>
          <w:b/>
          <w:sz w:val="22"/>
          <w:szCs w:val="22"/>
        </w:rPr>
      </w:pPr>
      <w:r w:rsidRPr="00CF7780">
        <w:rPr>
          <w:rFonts w:ascii="Arial" w:hAnsi="Arial" w:cs="Arial"/>
          <w:sz w:val="22"/>
          <w:szCs w:val="22"/>
        </w:rPr>
        <w:t xml:space="preserve">Siguiendo los modelos de crecimiento à la Barro (Barro y Sala-i-Martin, 1992), la tasa de crecimiento promedio del ingreso per capita para la economía </w:t>
      </w:r>
      <w:r w:rsidRPr="00CF7780">
        <w:rPr>
          <w:rFonts w:ascii="Arial" w:hAnsi="Arial" w:cs="Arial"/>
          <w:i/>
          <w:sz w:val="22"/>
          <w:szCs w:val="22"/>
        </w:rPr>
        <w:t>i</w:t>
      </w:r>
      <w:r w:rsidRPr="00CF7780">
        <w:rPr>
          <w:rFonts w:ascii="Arial" w:hAnsi="Arial" w:cs="Arial"/>
          <w:sz w:val="22"/>
          <w:szCs w:val="22"/>
        </w:rPr>
        <w:t xml:space="preserve"> puede estimarse mediante la siguiente ecuación: </w:t>
      </w:r>
    </w:p>
    <w:p w:rsidR="00E656CC" w:rsidRPr="00CF7780" w:rsidRDefault="00E656CC" w:rsidP="00514640">
      <w:pPr>
        <w:spacing w:before="100" w:beforeAutospacing="1" w:after="100" w:afterAutospacing="1"/>
        <w:ind w:firstLine="709"/>
        <w:jc w:val="center"/>
        <w:rPr>
          <w:rFonts w:ascii="Arial" w:hAnsi="Arial" w:cs="Arial"/>
          <w:sz w:val="22"/>
          <w:szCs w:val="22"/>
        </w:rPr>
      </w:pPr>
      <w:r w:rsidRPr="00CF7780">
        <w:rPr>
          <w:rFonts w:ascii="Arial" w:hAnsi="Arial" w:cs="Arial"/>
          <w:sz w:val="22"/>
          <w:szCs w:val="22"/>
        </w:rPr>
        <w:fldChar w:fldCharType="begin"/>
      </w:r>
      <w:r w:rsidRPr="00CF7780">
        <w:rPr>
          <w:rFonts w:ascii="Arial" w:hAnsi="Arial" w:cs="Arial"/>
          <w:sz w:val="22"/>
          <w:szCs w:val="22"/>
        </w:rPr>
        <w:instrText xml:space="preserve"> QUOTE </w:instrTex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2F28&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E72F28&quot;&gt;&lt;m:oMathPara&gt;&lt;m:oMath&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num&gt;&lt;m:den&gt;&lt;m:r&gt;&lt;m:rPr&gt;&lt;m:sty m:val=&quot;p&quot;/&gt;&lt;/m:rPr&gt;&lt;w:rPr&gt;&lt;w:rFonts w:ascii=&quot;Cambria Math&quot; w:h-ansi=&quot;Cambria Math&quot; w:cs=&quot;Arial&quot;/&gt;&lt;wx:font wx:val=&quot;Cambria Math&quot;/&gt;&lt;w:sz w:val=&quot;22&quot;/&gt;&lt;w:sz-cs w:val=&quot;22&quot;/&gt;&lt;/w:rPr&gt;&lt;m:t&gt;T&lt;/m:t&gt;&lt;/m:r&gt;&lt;/m:den&gt;&lt;/m:f&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lt;/m:t&gt;&lt;/m:r&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e&gt;&lt;/m:d&gt;&lt;m:r&gt;&lt;m:rPr&gt;&lt;m:sty m:val=&quot;p&quot;/&gt;&lt;/m:rPr&gt;&lt;w:rPr&gt;&lt;w:rFonts w:ascii=&quot;Cambria Math&quot; w:h-ansi=&quot;Cambria Math&quot; w:cs=&quot;Arial&quot;/&gt;&lt;wx:font wx:val=&quot;Cambria Math&quot;/&gt;&lt;w:sz w:val=&quot;22&quot;/&gt;&lt;w:sz-cs w:val=&quot;22&quot;/&gt;&lt;/w:rPr&gt;&lt;m:t&gt;=x+&lt;/m:t&gt;&lt;/m:r&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i&lt;/m:t&gt;&lt;/m:r&gt;&lt;/m:sub&gt;&lt;m:sup&gt;&lt;m:r&gt;&lt;m:rPr&gt;&lt;m:sty m:val=&quot;p&quot;/&gt;&lt;/m:rPr&gt;&lt;w:rPr&gt;&lt;w:rFonts w:ascii=&quot;Cambria Math&quot; w:h-ansi=&quot;Cambria Math&quot; w:cs=&quot;Arial&quot;/&gt;&lt;wx:font wx:val=&quot;Cambria Math&quot;/&gt;&lt;w:sz w:val=&quot;22&quot;/&gt;&lt;w:sz-cs w:val=&quot;22&quot;/&gt;&lt;/w:rPr&gt;&lt;m:t&gt;*&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 -&lt;/m:t&gt;&lt;/m:r&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e&gt;&lt;/m:d&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26" type="#_x0000_t75" style="width:32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2F28&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E72F28&quot;&gt;&lt;m:oMathPara&gt;&lt;m:oMath&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num&gt;&lt;m:den&gt;&lt;m:r&gt;&lt;m:rPr&gt;&lt;m:sty m:val=&quot;p&quot;/&gt;&lt;/m:rPr&gt;&lt;w:rPr&gt;&lt;w:rFonts w:ascii=&quot;Cambria Math&quot; w:h-ansi=&quot;Cambria Math&quot; w:cs=&quot;Arial&quot;/&gt;&lt;wx:font wx:val=&quot;Cambria Math&quot;/&gt;&lt;w:sz w:val=&quot;22&quot;/&gt;&lt;w:sz-cs w:val=&quot;22&quot;/&gt;&lt;/w:rPr&gt;&lt;m:t&gt;T&lt;/m:t&gt;&lt;/m:r&gt;&lt;/m:den&gt;&lt;/m:f&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lt;/m:t&gt;&lt;/m:r&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e&gt;&lt;/m:d&gt;&lt;m:r&gt;&lt;m:rPr&gt;&lt;m:sty m:val=&quot;p&quot;/&gt;&lt;/m:rPr&gt;&lt;w:rPr&gt;&lt;w:rFonts w:ascii=&quot;Cambria Math&quot; w:h-ansi=&quot;Cambria Math&quot; w:cs=&quot;Arial&quot;/&gt;&lt;wx:font wx:val=&quot;Cambria Math&quot;/&gt;&lt;w:sz w:val=&quot;22&quot;/&gt;&lt;w:sz-cs w:val=&quot;22&quot;/&gt;&lt;/w:rPr&gt;&lt;m:t&gt;=x+&lt;/m:t&gt;&lt;/m:r&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i&lt;/m:t&gt;&lt;/m:r&gt;&lt;/m:sub&gt;&lt;m:sup&gt;&lt;m:r&gt;&lt;m:rPr&gt;&lt;m:sty m:val=&quot;p&quot;/&gt;&lt;/m:rPr&gt;&lt;w:rPr&gt;&lt;w:rFonts w:ascii=&quot;Cambria Math&quot; w:h-ansi=&quot;Cambria Math&quot; w:cs=&quot;Arial&quot;/&gt;&lt;wx:font wx:val=&quot;Cambria Math&quot;/&gt;&lt;w:sz w:val=&quot;22&quot;/&gt;&lt;w:sz-cs w:val=&quot;22&quot;/&gt;&lt;/w:rPr&gt;&lt;m:t&gt;*&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 -&lt;/m:t&gt;&lt;/m:r&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e&gt;&lt;/m:d&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250808">
        <w:rPr>
          <w:rFonts w:ascii="Arial" w:hAnsi="Arial" w:cs="Arial"/>
          <w:sz w:val="22"/>
          <w:szCs w:val="22"/>
        </w:rPr>
        <w:fldChar w:fldCharType="end"/>
      </w:r>
      <w:r w:rsidRPr="00CF7780">
        <w:rPr>
          <w:rFonts w:ascii="Arial" w:hAnsi="Arial" w:cs="Arial"/>
          <w:sz w:val="22"/>
          <w:szCs w:val="22"/>
        </w:rPr>
        <w:instrText xml:space="preserve"> </w:instrText>
      </w:r>
      <w:r w:rsidRPr="00CF7780">
        <w:rPr>
          <w:rFonts w:ascii="Arial" w:hAnsi="Arial" w:cs="Arial"/>
          <w:sz w:val="22"/>
          <w:szCs w:val="22"/>
        </w:rPr>
        <w:fldChar w:fldCharType="separate"/>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27" type="#_x0000_t75" style="width:32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2E85&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072E85&quot;&gt;&lt;m:oMathPara&gt;&lt;m:oMath&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num&gt;&lt;m:den&gt;&lt;m:r&gt;&lt;m:rPr&gt;&lt;m:sty m:val=&quot;p&quot;/&gt;&lt;/m:rPr&gt;&lt;w:rPr&gt;&lt;w:rFonts w:ascii=&quot;Cambria Math&quot; w:h-ansi=&quot;Cambria Math&quot; w:cs=&quot;Arial&quot;/&gt;&lt;wx:font wx:val=&quot;Cambria Math&quot;/&gt;&lt;w:sz w:val=&quot;22&quot;/&gt;&lt;w:sz-cs w:val=&quot;22&quot;/&gt;&lt;/w:rPr&gt;&lt;m:t&gt;T&lt;/m:t&gt;&lt;/m:r&gt;&lt;/m:den&gt;&lt;/m:f&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lt;/m:t&gt;&lt;/m:r&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e&gt;&lt;/m:d&gt;&lt;m:r&gt;&lt;m:rPr&gt;&lt;m:sty m:val=&quot;p&quot;/&gt;&lt;/m:rPr&gt;&lt;w:rPr&gt;&lt;w:rFonts w:ascii=&quot;Cambria Math&quot; w:h-ansi=&quot;Cambria Math&quot; w:cs=&quot;Arial&quot;/&gt;&lt;wx:font wx:val=&quot;Cambria Math&quot;/&gt;&lt;w:sz w:val=&quot;22&quot;/&gt;&lt;w:sz-cs w:val=&quot;22&quot;/&gt;&lt;/w:rPr&gt;&lt;m:t&gt;=x+&lt;/m:t&gt;&lt;/m:r&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i&lt;/m:t&gt;&lt;/m:r&gt;&lt;/m:sub&gt;&lt;m:sup&gt;&lt;m:r&gt;&lt;m:rPr&gt;&lt;m:sty m:val=&quot;p&quot;/&gt;&lt;/m:rPr&gt;&lt;w:rPr&gt;&lt;w:rFonts w:ascii=&quot;Cambria Math&quot; w:h-ansi=&quot;Cambria Math&quot; w:cs=&quot;Arial&quot;/&gt;&lt;wx:font wx:val=&quot;Cambria Math&quot;/&gt;&lt;w:sz w:val=&quot;22&quot;/&gt;&lt;w:sz-cs w:val=&quot;22&quot;/&gt;&lt;/w:rPr&gt;&lt;m:t&gt;*&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 -&lt;/m:t&gt;&lt;/m:r&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e&gt;&lt;/m:d&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28" type="#_x0000_t75" style="width:32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2E85&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072E85&quot;&gt;&lt;m:oMathPara&gt;&lt;m:oMath&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num&gt;&lt;m:den&gt;&lt;m:r&gt;&lt;m:rPr&gt;&lt;m:sty m:val=&quot;p&quot;/&gt;&lt;/m:rPr&gt;&lt;w:rPr&gt;&lt;w:rFonts w:ascii=&quot;Cambria Math&quot; w:h-ansi=&quot;Cambria Math&quot; w:cs=&quot;Arial&quot;/&gt;&lt;wx:font wx:val=&quot;Cambria Math&quot;/&gt;&lt;w:sz w:val=&quot;22&quot;/&gt;&lt;w:sz-cs w:val=&quot;22&quot;/&gt;&lt;/w:rPr&gt;&lt;m:t&gt;T&lt;/m:t&gt;&lt;/m:r&gt;&lt;/m:den&gt;&lt;/m:f&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lt;/m:t&gt;&lt;/m:r&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e&gt;&lt;/m:d&gt;&lt;m:r&gt;&lt;m:rPr&gt;&lt;m:sty m:val=&quot;p&quot;/&gt;&lt;/m:rPr&gt;&lt;w:rPr&gt;&lt;w:rFonts w:ascii=&quot;Cambria Math&quot; w:h-ansi=&quot;Cambria Math&quot; w:cs=&quot;Arial&quot;/&gt;&lt;wx:font wx:val=&quot;Cambria Math&quot;/&gt;&lt;w:sz w:val=&quot;22&quot;/&gt;&lt;w:sz-cs w:val=&quot;22&quot;/&gt;&lt;/w:rPr&gt;&lt;m:t&gt;=x+&lt;/m:t&gt;&lt;/m:r&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i&lt;/m:t&gt;&lt;/m:r&gt;&lt;/m:sub&gt;&lt;m:sup&gt;&lt;m:r&gt;&lt;m:rPr&gt;&lt;m:sty m:val=&quot;p&quot;/&gt;&lt;/m:rPr&gt;&lt;w:rPr&gt;&lt;w:rFonts w:ascii=&quot;Cambria Math&quot; w:h-ansi=&quot;Cambria Math&quot; w:cs=&quot;Arial&quot;/&gt;&lt;wx:font wx:val=&quot;Cambria Math&quot;/&gt;&lt;w:sz w:val=&quot;22&quot;/&gt;&lt;w:sz-cs w:val=&quot;22&quot;/&gt;&lt;/w:rPr&gt;&lt;m:t&gt;*&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r&gt;&lt;m:rPr&gt;&lt;m:sty m:val=&quot;p&quot;/&gt;&lt;/m:rPr&gt;&lt;w:rPr&gt;&lt;w:rFonts w:ascii=&quot;Cambria Math&quot; w:h-ansi=&quot;Cambria Math&quot; w:cs=&quot;Arial&quot;/&gt;&lt;wx:font wx:val=&quot;Cambria Math&quot;/&gt;&lt;w:sz w:val=&quot;22&quot;/&gt;&lt;w:sz-cs w:val=&quot;22&quot;/&gt;&lt;/w:rPr&gt;&lt;m:t&gt; -&lt;/m:t&gt;&lt;/m:r&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gt;&lt;m:fPr&gt;&lt;m:ctrlPr&gt;&lt;w:rPr&gt;&lt;w:rFonts w:ascii=&quot;Cambria Math&quot; w:h-ansi=&quot;Cambria Math&quot; w:cs=&quot;Arial&quot;/&gt;&lt;wx:font wx:val=&quot;Cambria Math&quot;/&gt;&lt;w:i/&gt;&lt;w:sz w:val=&quot;22&quot;/&gt;&lt;w:sz-cs w:val=&quot;22&quot;/&gt;&lt;/w:rPr&gt;&lt;/m:ctrlPr&gt;&lt;/m:fPr&gt;&lt;m:num&gt;&lt;m:r&gt;&lt;m:rPr&gt;&lt;m:sty m:val=&quot;p&quot;/&gt;&lt;/m:rPr&gt;&lt;w:rPr&gt;&lt;w:rFonts w:ascii=&quot;Cambria Math&quot; w:h-ansi=&quot;Cambria Math&quot; w:cs=&quot;Arial&quot;/&gt;&lt;wx:font wx:val=&quot;Cambria Math&quot;/&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m:rPr&gt;&lt;m:sty m:val=&quot;p&quot;/&gt;&lt;/m:rPr&gt;&lt;w:rPr&gt;&lt;w:rFonts w:ascii=&quot;Cambria Math&quot; w:h-ansi=&quot;Cambria Math&quot; w:cs=&quot;Arial&quot;/&gt;&lt;wx:font wx:val=&quot;Cambria Math&quot;/&gt;&lt;w:sz w:val=&quot;22&quot;/&gt;&lt;w:sz-cs w:val=&quot;22&quot;/&gt;&lt;/w:rPr&gt;&lt;m:t&gt;T&lt;/m:t&gt;&lt;/m:r&gt;&lt;/m:den&gt;&lt;/m:f&gt;&lt;/m:e&gt;&lt;/m:d&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m:rPr&gt;&lt;m:sty m:val=&quot;p&quot;/&gt;&lt;/m:rPr&gt;&lt;w:rPr&gt;&lt;w:rFonts w:ascii=&quot;Cambria Math&quot; w:h-ansi=&quot;Cambria Math&quot; w:cs=&quot;Arial&quot;/&gt;&lt;wx:font wx:val=&quot;Cambria Math&quot;/&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r&gt;&lt;m:rPr&gt;&lt;m:sty m:val=&quot;p&quot;/&gt;&lt;/m:rPr&gt;&lt;w:rPr&gt;&lt;w:rFonts w:ascii=&quot;Cambria Math&quot; w:h-ansi=&quot;Cambria Math&quot; w:cs=&quot;Arial&quot;/&gt;&lt;wx:font wx:val=&quot;Cambria Math&quot;/&gt;&lt;w:sz w:val=&quot;22&quot;/&gt;&lt;w:sz-cs w:val=&quot;22&quot;/&gt;&lt;/w:rPr&gt;&lt;m:t&gt;)&lt;/m:t&gt;&lt;/m:r&gt;&lt;/m:e&gt;&lt;/m:func&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250808">
        <w:rPr>
          <w:rFonts w:ascii="Arial" w:hAnsi="Arial" w:cs="Arial"/>
          <w:sz w:val="22"/>
          <w:szCs w:val="22"/>
        </w:rPr>
        <w:fldChar w:fldCharType="end"/>
      </w:r>
      <w:r w:rsidRPr="00CF7780">
        <w:rPr>
          <w:rFonts w:ascii="Arial" w:hAnsi="Arial" w:cs="Arial"/>
          <w:sz w:val="22"/>
          <w:szCs w:val="22"/>
        </w:rPr>
        <w:t xml:space="preserve"> </w:t>
      </w:r>
      <w:r w:rsidRPr="00CF7780">
        <w:rPr>
          <w:rFonts w:ascii="Arial" w:hAnsi="Arial" w:cs="Arial"/>
          <w:sz w:val="22"/>
          <w:szCs w:val="22"/>
        </w:rPr>
        <w:fldChar w:fldCharType="end"/>
      </w:r>
      <w:r w:rsidRPr="00CF7780">
        <w:rPr>
          <w:rFonts w:ascii="Arial" w:hAnsi="Arial" w:cs="Arial"/>
          <w:sz w:val="22"/>
          <w:szCs w:val="22"/>
        </w:rPr>
        <w:t xml:space="preserve">   [1],</w:t>
      </w:r>
    </w:p>
    <w:p w:rsidR="00E656CC" w:rsidRPr="00CF7780" w:rsidRDefault="00E656CC" w:rsidP="00514640">
      <w:pPr>
        <w:spacing w:before="100" w:beforeAutospacing="1" w:after="100" w:afterAutospacing="1"/>
        <w:jc w:val="both"/>
        <w:rPr>
          <w:rFonts w:ascii="Arial" w:hAnsi="Arial" w:cs="Arial"/>
          <w:sz w:val="22"/>
          <w:szCs w:val="22"/>
        </w:rPr>
      </w:pPr>
      <w:r w:rsidRPr="00CF7780">
        <w:rPr>
          <w:rFonts w:ascii="Arial" w:hAnsi="Arial" w:cs="Arial"/>
          <w:sz w:val="22"/>
          <w:szCs w:val="22"/>
        </w:rPr>
        <w:t xml:space="preserve">donde </w:t>
      </w:r>
      <w:r w:rsidRPr="00CF7780">
        <w:rPr>
          <w:rFonts w:ascii="Arial" w:hAnsi="Arial" w:cs="Arial"/>
          <w:i/>
          <w:sz w:val="22"/>
          <w:szCs w:val="22"/>
        </w:rPr>
        <w:t>x</w:t>
      </w:r>
      <w:r w:rsidRPr="00CF7780">
        <w:rPr>
          <w:rFonts w:ascii="Arial" w:hAnsi="Arial" w:cs="Arial"/>
          <w:sz w:val="22"/>
          <w:szCs w:val="22"/>
        </w:rPr>
        <w:t xml:space="preserve"> es la tasa de progreso tecnológico,</w: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29" type="#_x0000_t75" style="width:1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E5717&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CE5717&quot;&gt;&lt;m:oMathPara&gt;&lt;m:oMath&gt;&lt;m:r&gt;&lt;w:rPr&gt;&lt;w:rFonts w:ascii=&quot;Cambria Math&quot; w:h-ansi=&quot;Cambria Math&quot; w:cs=&quot;Arial&quot;/&gt;&lt;wx:font wx:val=&quot;Cambria Math&quot;/&gt;&lt;w:i/&gt;&lt;w:sz w:val=&quot;22&quot;/&gt;&lt;w:sz-cs w:val=&quot;22&quot;/&gt;&lt;/w:rPr&gt;&lt;m:t&gt; &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i&lt;/m:t&gt;&lt;/m:r&gt;&lt;/m:sub&gt;&lt;m:sup&gt;&lt;m:r&gt;&lt;m:rPr&gt;&lt;m:sty m:val=&quot;p&quot;/&gt;&lt;/m:rPr&gt;&lt;w:rPr&gt;&lt;w:rFonts w:ascii=&quot;Cambria Math&quot; w:h-ansi=&quot;Cambria Math&quot; w:cs=&quot;Arial&quot;/&gt;&lt;wx:font wx:val=&quot;Cambria Math&quot;/&gt;&lt;w:sz w:val=&quot;22&quot;/&gt;&lt;w:sz-cs w:val=&quot;22&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30" type="#_x0000_t75" style="width:15.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E5717&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CE5717&quot;&gt;&lt;m:oMathPara&gt;&lt;m:oMath&gt;&lt;m:r&gt;&lt;w:rPr&gt;&lt;w:rFonts w:ascii=&quot;Cambria Math&quot; w:h-ansi=&quot;Cambria Math&quot; w:cs=&quot;Arial&quot;/&gt;&lt;wx:font wx:val=&quot;Cambria Math&quot;/&gt;&lt;w:i/&gt;&lt;w:sz w:val=&quot;22&quot;/&gt;&lt;w:sz-cs w:val=&quot;22&quot;/&gt;&lt;/w:rPr&gt;&lt;m:t&gt; &lt;/m:t&gt;&lt;/m:r&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y&lt;/m:t&gt;&lt;/m:r&gt;&lt;/m:e&gt;&lt;m:sub&gt;&lt;m:r&gt;&lt;m:rPr&gt;&lt;m:sty m:val=&quot;p&quot;/&gt;&lt;/m:rPr&gt;&lt;w:rPr&gt;&lt;w:rFonts w:ascii=&quot;Cambria Math&quot; w:h-ansi=&quot;Cambria Math&quot; w:cs=&quot;Arial&quot;/&gt;&lt;wx:font wx:val=&quot;Cambria Math&quot;/&gt;&lt;w:sz w:val=&quot;22&quot;/&gt;&lt;w:sz-cs w:val=&quot;22&quot;/&gt;&lt;/w:rPr&gt;&lt;m:t&gt;i&lt;/m:t&gt;&lt;/m:r&gt;&lt;/m:sub&gt;&lt;m:sup&gt;&lt;m:r&gt;&lt;m:rPr&gt;&lt;m:sty m:val=&quot;p&quot;/&gt;&lt;/m:rPr&gt;&lt;w:rPr&gt;&lt;w:rFonts w:ascii=&quot;Cambria Math&quot; w:h-ansi=&quot;Cambria Math&quot; w:cs=&quot;Arial&quot;/&gt;&lt;wx:font wx:val=&quot;Cambria Math&quot;/&gt;&lt;w:sz w:val=&quot;22&quot;/&gt;&lt;w:sz-cs w:val=&quot;22&quot;/&gt;&lt;/w:rPr&gt;&lt;m:t&gt;*&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r w:rsidRPr="00250808">
        <w:rPr>
          <w:rFonts w:ascii="Arial" w:hAnsi="Arial" w:cs="Arial"/>
          <w:sz w:val="22"/>
          <w:szCs w:val="22"/>
        </w:rPr>
        <w:fldChar w:fldCharType="end"/>
      </w:r>
      <w:r w:rsidRPr="00CF7780">
        <w:rPr>
          <w:rFonts w:ascii="Arial" w:hAnsi="Arial" w:cs="Arial"/>
          <w:sz w:val="22"/>
          <w:szCs w:val="22"/>
        </w:rPr>
        <w:t xml:space="preserve"> es el nivel de ingreso per capita de estado estacionario, y </w:t>
      </w:r>
      <w:r w:rsidRPr="00CF7780">
        <w:rPr>
          <w:rFonts w:ascii="Arial" w:hAnsi="Arial" w:cs="Arial"/>
          <w:sz w:val="22"/>
          <w:szCs w:val="22"/>
        </w:rPr>
        <w:fldChar w:fldCharType="begin"/>
      </w:r>
      <w:r w:rsidRPr="00CF7780">
        <w:rPr>
          <w:rFonts w:ascii="Arial" w:hAnsi="Arial" w:cs="Arial"/>
          <w:sz w:val="22"/>
          <w:szCs w:val="22"/>
        </w:rPr>
        <w:instrText xml:space="preserve"> QUOTE </w:instrTex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31" type="#_x0000_t75" style="width:12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83878&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383878&quot;&gt;&lt;m:oMathPara&gt;&lt;m:oMath&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32" type="#_x0000_t75" style="width:12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83878&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383878&quot;&gt;&lt;m:oMathPara&gt;&lt;m:oMath&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250808">
        <w:rPr>
          <w:rFonts w:ascii="Arial" w:hAnsi="Arial" w:cs="Arial"/>
          <w:sz w:val="22"/>
          <w:szCs w:val="22"/>
        </w:rPr>
        <w:fldChar w:fldCharType="end"/>
      </w:r>
      <w:r w:rsidRPr="00CF7780">
        <w:rPr>
          <w:rFonts w:ascii="Arial" w:hAnsi="Arial" w:cs="Arial"/>
          <w:sz w:val="22"/>
          <w:szCs w:val="22"/>
        </w:rPr>
        <w:instrText xml:space="preserve"> </w:instrText>
      </w:r>
      <w:r w:rsidRPr="00CF7780">
        <w:rPr>
          <w:rFonts w:ascii="Arial" w:hAnsi="Arial" w:cs="Arial"/>
          <w:sz w:val="22"/>
          <w:szCs w:val="22"/>
        </w:rPr>
        <w:fldChar w:fldCharType="separate"/>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33" type="#_x0000_t75" style="width:12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E1C82&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CE1C82&quot;&gt;&lt;m:oMathPara&gt;&lt;m:oMath&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34" type="#_x0000_t75" style="width:12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E1C82&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CE1C82&quot;&gt;&lt;m:oMathPara&gt;&lt;m:oMath&gt;&lt;m:sSubSup&gt;&lt;m:sSubSupPr&gt;&lt;m:ctrlPr&gt;&lt;w:rPr&gt;&lt;w:rFonts w:ascii=&quot;Cambria Math&quot; w:h-ansi=&quot;Cambria Math&quot; w:cs=&quot;Arial&quot;/&gt;&lt;wx:font wx:val=&quot;Cambria Math&quot;/&gt;&lt;w:i/&gt;&lt;w:sz w:val=&quot;22&quot;/&gt;&lt;w:sz-cs w:val=&quot;22&quot;/&gt;&lt;/w:rPr&gt;&lt;/m:ctrlPr&gt;&lt;/m:sSubSupPr&gt;&lt;m:e&gt;&lt;m:r&gt;&lt;m:rPr&gt;&lt;m:sty m:val=&quot;p&quot;/&gt;&lt;/m:rPr&gt;&lt;w:rPr&gt;&lt;w:rFonts w:ascii=&quot;Cambria Math&quot; w:h-ansi=&quot;Cambria Math&quot; w:cs=&quot;Arial&quot;/&gt;&lt;wx:font wx:val=&quot;Cambria Math&quot;/&gt;&lt;w:sz w:val=&quot;22&quot;/&gt;&lt;w:sz-cs w:val=&quot;22&quot;/&gt;&lt;/w:rPr&gt;&lt;m:t&gt;u&lt;/m:t&gt;&lt;/m:r&gt;&lt;/m:e&gt;&lt;m:sub&gt;&lt;m:r&gt;&lt;m:rPr&gt;&lt;m:sty m:val=&quot;p&quot;/&gt;&lt;/m:rPr&gt;&lt;w:rPr&gt;&lt;w:rFonts w:ascii=&quot;Cambria Math&quot; w:h-ansi=&quot;Cambria Math&quot; w:cs=&quot;Arial&quot;/&gt;&lt;wx:font wx:val=&quot;Cambria Math&quot;/&gt;&lt;w:sz w:val=&quot;22&quot;/&gt;&lt;w:sz-cs w:val=&quot;22&quot;/&gt;&lt;/w:rPr&gt;&lt;m:t&gt;t&lt;/m:t&gt;&lt;/m:r&gt;&lt;/m:sub&gt;&lt;m:sup&gt;&lt;m:r&gt;&lt;m:rPr&gt;&lt;m:sty m:val=&quot;p&quot;/&gt;&lt;/m:rPr&gt;&lt;w:rPr&gt;&lt;w:rFonts w:ascii=&quot;Cambria Math&quot; w:h-ansi=&quot;Cambria Math&quot; w:cs=&quot;Arial&quot;/&gt;&lt;wx:font wx:val=&quot;Cambria Math&quot;/&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250808">
        <w:rPr>
          <w:rFonts w:ascii="Arial" w:hAnsi="Arial" w:cs="Arial"/>
          <w:sz w:val="22"/>
          <w:szCs w:val="22"/>
        </w:rPr>
        <w:fldChar w:fldCharType="end"/>
      </w:r>
      <w:r w:rsidRPr="00CF7780">
        <w:rPr>
          <w:rFonts w:ascii="Arial" w:hAnsi="Arial" w:cs="Arial"/>
          <w:sz w:val="22"/>
          <w:szCs w:val="22"/>
        </w:rPr>
        <w:t xml:space="preserve"> </w:t>
      </w:r>
      <w:r w:rsidRPr="00CF7780">
        <w:rPr>
          <w:rFonts w:ascii="Arial" w:hAnsi="Arial" w:cs="Arial"/>
          <w:sz w:val="22"/>
          <w:szCs w:val="22"/>
        </w:rPr>
        <w:fldChar w:fldCharType="end"/>
      </w:r>
      <w:r w:rsidRPr="00CF7780">
        <w:rPr>
          <w:rFonts w:ascii="Arial" w:hAnsi="Arial" w:cs="Arial"/>
          <w:sz w:val="22"/>
          <w:szCs w:val="22"/>
        </w:rPr>
        <w:t xml:space="preserve"> es el término de error. </w:t>
      </w:r>
    </w:p>
    <w:p w:rsidR="00E656CC" w:rsidRPr="00CF7780" w:rsidRDefault="00E656CC" w:rsidP="00514640">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Definiendo: </w: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35" type="#_x0000_t75" style="width:11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3EE3&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883EE3&quot;&gt;&lt;m:oMathPara&gt;&lt;m:oMath&gt;&lt;m:r&gt;&lt;w:rPr&gt;&lt;w:rFonts w:ascii=&quot;Cambria Math&quot; w:h-ansi=&quot;Cambria Math&quot; w:cs=&quot;Arial&quot;/&gt;&lt;wx:font wx:val=&quot;Cambria Math&quot;/&gt;&lt;w:i/&gt;&lt;w:sz w:val=&quot;22&quot;/&gt;&lt;w:sz-cs w:val=&quot;22&quot;/&gt;&lt;/w:rPr&gt;&lt;m:t&gt;x+&lt;/m:t&gt;&lt;/m:r&gt;&lt;m:f&gt;&lt;m:fPr&gt;&lt;m:ctrlPr&gt;&lt;w:rPr&gt;&lt;w:rFonts w:ascii=&quot;Cambria Math&quot; w:h-ansi=&quot;Cambria Math&quot; w:cs=&quot;Arial&quot;/&gt;&lt;wx:font wx:val=&quot;Cambria Math&quot;/&gt;&lt;w:i/&gt;&lt;w:sz w:val=&quot;22&quot;/&gt;&lt;w:sz-cs w:val=&quot;22&quot;/&gt;&lt;/w:rPr&gt;&lt;/m:ctrlPr&gt;&lt;/m:fPr&gt;&lt;m:num&gt;&lt;m:r&gt;&lt;w:rPr&gt;&lt;w:rFonts w:ascii=&quot;Cambria Math&quot; w:h-ansi=&quot;Cambria Math&quot; w:cs=&quot;Arial&quot;/&gt;&lt;wx:font wx:val=&quot;Cambria Math&quot;/&gt;&lt;w:i/&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w:rPr&gt;&lt;w:rFonts w:ascii=&quot;Cambria Math&quot; w:h-ansi=&quot;Cambria Math&quot; w:cs=&quot;Arial&quot;/&gt;&lt;wx:font wx:val=&quot;Cambria Math&quot;/&gt;&lt;w:i/&gt;&lt;w:sz w:val=&quot;22&quot;/&gt;&lt;w:sz-cs w:val=&quot;22&quot;/&gt;&lt;/w:rPr&gt;&lt;m:t&gt;T&lt;/m:t&gt;&lt;/m:r&gt;&lt;/m:den&gt;&lt;/m:f&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i&lt;/m:t&gt;&lt;/m:r&gt;&lt;/m:sub&gt;&lt;m:sup&gt;&lt;m:r&gt;&lt;w:rPr&gt;&lt;w:rFonts w:ascii=&quot;Cambria Math&quot; w:h-ansi=&quot;Cambria Math&quot; w:cs=&quot;Arial&quot;/&gt;&lt;wx:font wx:val=&quot;Cambria Math&quot;/&gt;&lt;w:i/&gt;&lt;w:sz w:val=&quot;22&quot;/&gt;&lt;w:sz-cs w:val=&quot;22&quot;/&gt;&lt;/w:rPr&gt;&lt;m:t&gt;*&lt;/m:t&gt;&lt;/m:r&gt;&lt;/m:sup&gt;&lt;/m:sSubSup&gt;&lt;m:r&gt;&lt;w:rPr&gt;&lt;w:rFonts w:ascii=&quot;Cambria Math&quot; w:h-ansi=&quot;Cambria Math&quot; w:cs=&quot;Arial&quot;/&gt;&lt;wx:font wx:val=&quot;Cambria Math&quot;/&gt;&lt;w:i/&gt;&lt;w:sz w:val=&quot;22&quot;/&gt;&lt;w:sz-cs w:val=&quot;22&quot;/&gt;&lt;/w:rPr&gt;&lt;m:t&gt;)&lt;/m:t&gt;&lt;/m:r&gt;&lt;/m:e&gt;&lt;/m:func&gt;&lt;m:r&gt;&lt;w:rPr&gt;&lt;w:rFonts w:ascii=&quot;Cambria Math&quot; w:h-ansi=&quot;Cambria Math&quot; w:cs=&quot;Arial&quot;/&gt;&lt;wx:font wx:val=&quot;Cambria Math&quot;/&gt;&lt;w:i/&gt;&lt;w:sz w:val=&quot;22&quot;/&gt;&lt;w:sz-cs w:val=&quot;22&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36" type="#_x0000_t75" style="width:11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3EE3&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883EE3&quot;&gt;&lt;m:oMathPara&gt;&lt;m:oMath&gt;&lt;m:r&gt;&lt;w:rPr&gt;&lt;w:rFonts w:ascii=&quot;Cambria Math&quot; w:h-ansi=&quot;Cambria Math&quot; w:cs=&quot;Arial&quot;/&gt;&lt;wx:font wx:val=&quot;Cambria Math&quot;/&gt;&lt;w:i/&gt;&lt;w:sz w:val=&quot;22&quot;/&gt;&lt;w:sz-cs w:val=&quot;22&quot;/&gt;&lt;/w:rPr&gt;&lt;m:t&gt;x+&lt;/m:t&gt;&lt;/m:r&gt;&lt;m:f&gt;&lt;m:fPr&gt;&lt;m:ctrlPr&gt;&lt;w:rPr&gt;&lt;w:rFonts w:ascii=&quot;Cambria Math&quot; w:h-ansi=&quot;Cambria Math&quot; w:cs=&quot;Arial&quot;/&gt;&lt;wx:font wx:val=&quot;Cambria Math&quot;/&gt;&lt;w:i/&gt;&lt;w:sz w:val=&quot;22&quot;/&gt;&lt;w:sz-cs w:val=&quot;22&quot;/&gt;&lt;/w:rPr&gt;&lt;/m:ctrlPr&gt;&lt;/m:fPr&gt;&lt;m:num&gt;&lt;m:r&gt;&lt;w:rPr&gt;&lt;w:rFonts w:ascii=&quot;Cambria Math&quot; w:h-ansi=&quot;Cambria Math&quot; w:cs=&quot;Arial&quot;/&gt;&lt;wx:font wx:val=&quot;Cambria Math&quot;/&gt;&lt;w:i/&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w:rPr&gt;&lt;w:rFonts w:ascii=&quot;Cambria Math&quot; w:h-ansi=&quot;Cambria Math&quot; w:cs=&quot;Arial&quot;/&gt;&lt;wx:font wx:val=&quot;Cambria Math&quot;/&gt;&lt;w:i/&gt;&lt;w:sz w:val=&quot;22&quot;/&gt;&lt;w:sz-cs w:val=&quot;22&quot;/&gt;&lt;/w:rPr&gt;&lt;m:t&gt;T&lt;/m:t&gt;&lt;/m:r&gt;&lt;/m:den&gt;&lt;/m:f&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i&lt;/m:t&gt;&lt;/m:r&gt;&lt;/m:sub&gt;&lt;m:sup&gt;&lt;m:r&gt;&lt;w:rPr&gt;&lt;w:rFonts w:ascii=&quot;Cambria Math&quot; w:h-ansi=&quot;Cambria Math&quot; w:cs=&quot;Arial&quot;/&gt;&lt;wx:font wx:val=&quot;Cambria Math&quot;/&gt;&lt;w:i/&gt;&lt;w:sz w:val=&quot;22&quot;/&gt;&lt;w:sz-cs w:val=&quot;22&quot;/&gt;&lt;/w:rPr&gt;&lt;m:t&gt;*&lt;/m:t&gt;&lt;/m:r&gt;&lt;/m:sup&gt;&lt;/m:sSubSup&gt;&lt;m:r&gt;&lt;w:rPr&gt;&lt;w:rFonts w:ascii=&quot;Cambria Math&quot; w:h-ansi=&quot;Cambria Math&quot; w:cs=&quot;Arial&quot;/&gt;&lt;wx:font wx:val=&quot;Cambria Math&quot;/&gt;&lt;w:i/&gt;&lt;w:sz w:val=&quot;22&quot;/&gt;&lt;w:sz-cs w:val=&quot;22&quot;/&gt;&lt;/w:rPr&gt;&lt;m:t&gt;)&lt;/m:t&gt;&lt;/m:r&gt;&lt;/m:e&gt;&lt;/m:func&gt;&lt;m:r&gt;&lt;w:rPr&gt;&lt;w:rFonts w:ascii=&quot;Cambria Math&quot; w:h-ansi=&quot;Cambria Math&quot; w:cs=&quot;Arial&quot;/&gt;&lt;wx:font wx:val=&quot;Cambria Math&quot;/&gt;&lt;w:i/&gt;&lt;w:sz w:val=&quot;22&quot;/&gt;&lt;w:sz-cs w:val=&quot;22&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250808">
        <w:rPr>
          <w:rFonts w:ascii="Arial" w:hAnsi="Arial" w:cs="Arial"/>
          <w:sz w:val="22"/>
          <w:szCs w:val="22"/>
        </w:rPr>
        <w:fldChar w:fldCharType="end"/>
      </w:r>
      <w:r w:rsidRPr="00CF7780">
        <w:rPr>
          <w:rFonts w:ascii="Arial" w:hAnsi="Arial" w:cs="Arial"/>
          <w:sz w:val="22"/>
          <w:szCs w:val="22"/>
        </w:rPr>
        <w:t xml:space="preserve">, </w: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37" type="#_x0000_t75" style="width:85.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681&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F62681&quot;&gt;&lt;m:oMathPara&gt;&lt;m:oMath&gt;&lt;m:r&gt;&lt;w:rPr&gt;&lt;w:rFonts w:ascii=&quot;Cambria Math&quot; w:h-ansi=&quot;Cambria Math&quot; w:cs=&quot;Arial&quot;/&gt;&lt;wx:font wx:val=&quot;Cambria Math&quot;/&gt;&lt;w:i/&gt;&lt;w:sz w:val=&quot;22&quot;/&gt;&lt;w:sz-cs w:val=&quot;22&quot;/&gt;&lt;/w:rPr&gt;&lt;m:t&gt;-&lt;/m:t&gt;&lt;/m:r&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gt;&lt;m:fPr&gt;&lt;m:ctrlPr&gt;&lt;w:rPr&gt;&lt;w:rFonts w:ascii=&quot;Cambria Math&quot; w:h-ansi=&quot;Cambria Math&quot; w:cs=&quot;Arial&quot;/&gt;&lt;wx:font wx:val=&quot;Cambria Math&quot;/&gt;&lt;w:i/&gt;&lt;w:sz w:val=&quot;22&quot;/&gt;&lt;w:sz-cs w:val=&quot;22&quot;/&gt;&lt;/w:rPr&gt;&lt;/m:ctrlPr&gt;&lt;/m:fPr&gt;&lt;m:num&gt;&lt;m:r&gt;&lt;w:rPr&gt;&lt;w:rFonts w:ascii=&quot;Cambria Math&quot; w:h-ansi=&quot;Cambria Math&quot; w:cs=&quot;Arial&quot;/&gt;&lt;wx:font wx:val=&quot;Cambria Math&quot;/&gt;&lt;w:i/&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w:rPr&gt;&lt;w:rFonts w:ascii=&quot;Cambria Math&quot; w:h-ansi=&quot;Cambria Math&quot; w:cs=&quot;Arial&quot;/&gt;&lt;wx:font wx:val=&quot;Cambria Math&quot;/&gt;&lt;w:i/&gt;&lt;w:sz w:val=&quot;22&quot;/&gt;&lt;w:sz-cs w:val=&quot;22&quot;/&gt;&lt;/w:rPr&gt;&lt;m:t&gt;T&lt;/m:t&gt;&lt;/m:r&gt;&lt;/m:den&gt;&lt;/m:f&gt;&lt;/m:e&gt;&lt;/m:d&gt;&lt;m:r&gt;&lt;w:rPr&gt;&lt;w:rFonts w:ascii=&quot;Cambria Math&quot; w:h-ansi=&quot;Cambria Math&quot; w:cs=&quot;Arial&quot;/&gt;&lt;wx:font wx:val=&quot;Cambria Math&quot;/&gt;&lt;w:i/&gt;&lt;w:sz w:val=&quot;22&quot;/&gt;&lt;w:sz-cs w:val=&quot;22&quot;/&gt;&lt;/w:rPr&gt;&lt;m:t&gt;=Î³&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38" type="#_x0000_t75" style="width:85.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681&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F62681&quot;&gt;&lt;m:oMathPara&gt;&lt;m:oMath&gt;&lt;m:r&gt;&lt;w:rPr&gt;&lt;w:rFonts w:ascii=&quot;Cambria Math&quot; w:h-ansi=&quot;Cambria Math&quot; w:cs=&quot;Arial&quot;/&gt;&lt;wx:font wx:val=&quot;Cambria Math&quot;/&gt;&lt;w:i/&gt;&lt;w:sz w:val=&quot;22&quot;/&gt;&lt;w:sz-cs w:val=&quot;22&quot;/&gt;&lt;/w:rPr&gt;&lt;m:t&gt;-&lt;/m:t&gt;&lt;/m:r&gt;&lt;m:d&gt;&lt;m:dPr&gt;&lt;m:begChr m:val=&quot;[&quot;/&gt;&lt;m:endChr m:val=&quot;]&quot;/&gt;&lt;m:ctrlPr&gt;&lt;w:rPr&gt;&lt;w:rFonts w:ascii=&quot;Cambria Math&quot; w:h-ansi=&quot;Cambria Math&quot; w:cs=&quot;Arial&quot;/&gt;&lt;wx:font wx:val=&quot;Cambria Math&quot;/&gt;&lt;w:i/&gt;&lt;w:sz w:val=&quot;22&quot;/&gt;&lt;w:sz-cs w:val=&quot;22&quot;/&gt;&lt;/w:rPr&gt;&lt;/m:ctrlPr&gt;&lt;/m:dPr&gt;&lt;m:e&gt;&lt;m:f&gt;&lt;m:fPr&gt;&lt;m:ctrlPr&gt;&lt;w:rPr&gt;&lt;w:rFonts w:ascii=&quot;Cambria Math&quot; w:h-ansi=&quot;Cambria Math&quot; w:cs=&quot;Arial&quot;/&gt;&lt;wx:font wx:val=&quot;Cambria Math&quot;/&gt;&lt;w:i/&gt;&lt;w:sz w:val=&quot;22&quot;/&gt;&lt;w:sz-cs w:val=&quot;22&quot;/&gt;&lt;/w:rPr&gt;&lt;/m:ctrlPr&gt;&lt;/m:fPr&gt;&lt;m:num&gt;&lt;m:r&gt;&lt;w:rPr&gt;&lt;w:rFonts w:ascii=&quot;Cambria Math&quot; w:h-ansi=&quot;Cambria Math&quot; w:cs=&quot;Arial&quot;/&gt;&lt;wx:font wx:val=&quot;Cambria Math&quot;/&gt;&lt;w:i/&gt;&lt;w:sz w:val=&quot;22&quot;/&gt;&lt;w:sz-cs w:val=&quot;22&quot;/&gt;&lt;/w:rPr&gt;&lt;m:t&gt;1-&lt;/m:t&gt;&lt;/m:r&gt;&lt;m:sSup&gt;&lt;m:sSupPr&gt;&lt;m:ctrlPr&gt;&lt;w:rPr&gt;&lt;w:rFonts w:ascii=&quot;Cambria Math&quot; w:h-ansi=&quot;Cambria Math&quot; w:cs=&quot;Arial&quot;/&gt;&lt;wx:font wx:val=&quot;Cambria Math&quot;/&gt;&lt;w:sz w:val=&quot;22&quot;/&gt;&lt;w:sz-cs w:val=&quot;22&quot;/&gt;&lt;/w:rPr&gt;&lt;/m:ctrlPr&gt;&lt;/m:sSupPr&gt;&lt;m:e&gt;&lt;m:r&gt;&lt;m:rPr&gt;&lt;m:sty m:val=&quot;p&quot;/&gt;&lt;/m:rPr&gt;&lt;w:rPr&gt;&lt;w:rFonts w:ascii=&quot;Cambria Math&quot; w:h-ansi=&quot;Cambria Math&quot; w:cs=&quot;Arial&quot;/&gt;&lt;wx:font wx:val=&quot;Cambria Math&quot;/&gt;&lt;w:sz w:val=&quot;22&quot;/&gt;&lt;w:sz-cs w:val=&quot;22&quot;/&gt;&lt;/w:rPr&gt;&lt;m:t&gt;e&lt;/m:t&gt;&lt;/m:r&gt;&lt;/m:e&gt;&lt;m:sup&gt;&lt;m:r&gt;&lt;m:rPr&gt;&lt;m:sty m:val=&quot;p&quot;/&gt;&lt;/m:rPr&gt;&lt;w:rPr&gt;&lt;w:rFonts w:ascii=&quot;Cambria Math&quot; w:h-ansi=&quot;Cambria Math&quot; w:cs=&quot;Arial&quot;/&gt;&lt;wx:font wx:val=&quot;Cambria Math&quot;/&gt;&lt;w:sz w:val=&quot;22&quot;/&gt;&lt;w:sz-cs w:val=&quot;22&quot;/&gt;&lt;/w:rPr&gt;&lt;m:t&gt;- Î²T&lt;/m:t&gt;&lt;/m:r&gt;&lt;/m:sup&gt;&lt;/m:sSup&gt;&lt;/m:num&gt;&lt;m:den&gt;&lt;m:r&gt;&lt;w:rPr&gt;&lt;w:rFonts w:ascii=&quot;Cambria Math&quot; w:h-ansi=&quot;Cambria Math&quot; w:cs=&quot;Arial&quot;/&gt;&lt;wx:font wx:val=&quot;Cambria Math&quot;/&gt;&lt;w:i/&gt;&lt;w:sz w:val=&quot;22&quot;/&gt;&lt;w:sz-cs w:val=&quot;22&quot;/&gt;&lt;/w:rPr&gt;&lt;m:t&gt;T&lt;/m:t&gt;&lt;/m:r&gt;&lt;/m:den&gt;&lt;/m:f&gt;&lt;/m:e&gt;&lt;/m:d&gt;&lt;m:r&gt;&lt;w:rPr&gt;&lt;w:rFonts w:ascii=&quot;Cambria Math&quot; w:h-ansi=&quot;Cambria Math&quot; w:cs=&quot;Arial&quot;/&gt;&lt;wx:font wx:val=&quot;Cambria Math&quot;/&gt;&lt;w:i/&gt;&lt;w:sz w:val=&quot;22&quot;/&gt;&lt;w:sz-cs w:val=&quot;22&quot;/&gt;&lt;/w:rPr&gt;&lt;m:t&gt;=Î³&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250808">
        <w:rPr>
          <w:rFonts w:ascii="Arial" w:hAnsi="Arial" w:cs="Arial"/>
          <w:sz w:val="22"/>
          <w:szCs w:val="22"/>
        </w:rPr>
        <w:fldChar w:fldCharType="end"/>
      </w:r>
      <w:r w:rsidRPr="00CF7780">
        <w:rPr>
          <w:rFonts w:ascii="Arial" w:hAnsi="Arial" w:cs="Arial"/>
          <w:sz w:val="22"/>
          <w:szCs w:val="22"/>
        </w:rPr>
        <w:t xml:space="preserve">, la ecuación a estimar es: </w:t>
      </w:r>
    </w:p>
    <w:p w:rsidR="00E656CC" w:rsidRPr="00CF7780" w:rsidRDefault="00E656CC" w:rsidP="00514640">
      <w:pPr>
        <w:spacing w:before="100" w:beforeAutospacing="1" w:after="100" w:afterAutospacing="1"/>
        <w:ind w:firstLine="709"/>
        <w:jc w:val="center"/>
        <w:rPr>
          <w:rFonts w:ascii="Arial" w:hAnsi="Arial" w:cs="Arial"/>
          <w:sz w:val="22"/>
          <w:szCs w:val="22"/>
        </w:rPr>
      </w:pP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39" type="#_x0000_t75" style="width:68.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475FB&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1475FB&quot;&gt;&lt;m:oMathPara&gt;&lt;m:oMath&gt;&lt;m:r&gt;&lt;m:rPr&gt;&lt;m:sty m:val=&quot;p&quot;/&gt;&lt;/m:rPr&gt;&lt;w:rPr&gt;&lt;w:rFonts w:ascii=&quot;Cambria Math&quot; w:h-ansi=&quot;Cambria Math&quot; w:cs=&quot;Arial&quot;/&gt;&lt;wx:font wx:val=&quot;Cambria Math&quot;/&gt;&lt;w:sz w:val=&quot;22&quot;/&gt;&lt;w:sz-cs w:val=&quot;22&quot;/&gt;&lt;/w:rPr&gt;&lt;m:t&gt;lnâ¡&lt;/m:t&gt;&lt;/m:r&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T&lt;/m:t&gt;&lt;/m:r&gt;&lt;/m:sub&gt;&lt;m:sup&gt;&lt;m:r&gt;&lt;w:rPr&gt;&lt;w:rFonts w:ascii=&quot;Cambria Math&quot; w:h-ansi=&quot;Cambria Math&quot; w:cs=&quot;Arial&quot;/&gt;&lt;wx:font wx:val=&quot;Cambria Math&quot;/&gt;&lt;w:i/&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40" type="#_x0000_t75" style="width:68.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475FB&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1475FB&quot;&gt;&lt;m:oMathPara&gt;&lt;m:oMath&gt;&lt;m:r&gt;&lt;m:rPr&gt;&lt;m:sty m:val=&quot;p&quot;/&gt;&lt;/m:rPr&gt;&lt;w:rPr&gt;&lt;w:rFonts w:ascii=&quot;Cambria Math&quot; w:h-ansi=&quot;Cambria Math&quot; w:cs=&quot;Arial&quot;/&gt;&lt;wx:font wx:val=&quot;Cambria Math&quot;/&gt;&lt;w:sz w:val=&quot;22&quot;/&gt;&lt;w:sz-cs w:val=&quot;22&quot;/&gt;&lt;/w:rPr&gt;&lt;m:t&gt;lnâ¡&lt;/m:t&gt;&lt;/m:r&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T&lt;/m:t&gt;&lt;/m:r&gt;&lt;/m:sub&gt;&lt;m:sup&gt;&lt;m:r&gt;&lt;w:rPr&gt;&lt;w:rFonts w:ascii=&quot;Cambria Math&quot; w:h-ansi=&quot;Cambria Math&quot; w:cs=&quot;Arial&quot;/&gt;&lt;wx:font wx:val=&quot;Cambria Math&quot;/&gt;&lt;w:i/&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250808">
        <w:rPr>
          <w:rFonts w:ascii="Arial" w:hAnsi="Arial" w:cs="Arial"/>
          <w:sz w:val="22"/>
          <w:szCs w:val="22"/>
        </w:rPr>
        <w:fldChar w:fldCharType="end"/>
      </w:r>
      <w:r w:rsidRPr="00CF7780">
        <w:rPr>
          <w:rFonts w:ascii="Arial" w:hAnsi="Arial" w:cs="Arial"/>
          <w:sz w:val="22"/>
          <w:szCs w:val="22"/>
        </w:rPr>
        <w:t>)-</w: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41" type="#_x0000_t75" style="width:155.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60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BF6604&quot;&gt;&lt;m:oMathPara&gt;&lt;m:oMath&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lt;/m:t&gt;&lt;/m:r&gt;&lt;/m:e&gt;&lt;/m:func&gt;&lt;m:r&gt;&lt;w:rPr&gt;&lt;w:rFonts w:ascii=&quot;Cambria Math&quot; w:h-ansi=&quot;Cambria Math&quot; w:cs=&quot;Arial&quot;/&gt;&lt;wx:font wx:val=&quot;Cambria Math&quot;/&gt;&lt;w:i/&gt;&lt;w:sz w:val=&quot;22&quot;/&gt;&lt;w:sz-cs w:val=&quot;22&quot;/&gt;&lt;/w:rPr&gt;&lt;m:t&gt;=Î¸+Î³&lt;/m:t&gt;&lt;/m:r&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lt;/m:t&gt;&lt;/m:r&gt;&lt;/m:e&gt;&lt;/m:func&gt;&lt;m:r&gt;&lt;w:rPr&gt;&lt;w:rFonts w:ascii=&quot;Cambria Math&quot; w:h-ansi=&quot;Cambria Math&quot; w:cs=&quot;Arial&quot;/&gt;&lt;wx:font wx:val=&quot;Cambria Math&quot;/&gt;&lt;w:i/&gt;&lt;w:sz w:val=&quot;22&quot;/&gt;&lt;w:sz-cs w:val=&quot;22&quot;/&gt;&lt;/w:rPr&gt;&lt;m:t&gt;+Î´&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X&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u&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42" type="#_x0000_t75" style="width:155.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60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BF6604&quot;&gt;&lt;m:oMathPara&gt;&lt;m:oMath&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lt;/m:t&gt;&lt;/m:r&gt;&lt;/m:e&gt;&lt;/m:func&gt;&lt;m:r&gt;&lt;w:rPr&gt;&lt;w:rFonts w:ascii=&quot;Cambria Math&quot; w:h-ansi=&quot;Cambria Math&quot; w:cs=&quot;Arial&quot;/&gt;&lt;wx:font wx:val=&quot;Cambria Math&quot;/&gt;&lt;w:i/&gt;&lt;w:sz w:val=&quot;22&quot;/&gt;&lt;w:sz-cs w:val=&quot;22&quot;/&gt;&lt;/w:rPr&gt;&lt;m:t&gt;=Î¸+Î³&lt;/m:t&gt;&lt;/m:r&gt;&lt;m:func&gt;&lt;m:funcPr&gt;&lt;m:ctrlPr&gt;&lt;w:rPr&gt;&lt;w:rFonts w:ascii=&quot;Cambria Math&quot; w:h-ansi=&quot;Cambria Math&quot; w:cs=&quot;Arial&quot;/&gt;&lt;wx:font wx:val=&quot;Cambria Math&quot;/&gt;&lt;w:i/&gt;&lt;w:sz w:val=&quot;22&quot;/&gt;&lt;w:sz-cs w:val=&quot;22&quot;/&gt;&lt;/w:rPr&gt;&lt;/m:ctrlPr&gt;&lt;/m:funcPr&gt;&lt;m:fName&gt;&lt;m:r&gt;&lt;m:rPr&gt;&lt;m:sty m:val=&quot;p&quot;/&gt;&lt;/m:rPr&gt;&lt;w:rPr&gt;&lt;w:rFonts w:ascii=&quot;Cambria Math&quot; w:h-ansi=&quot;Cambria Math&quot; w:cs=&quot;Arial&quot;/&gt;&lt;wx:font wx:val=&quot;Cambria Math&quot;/&gt;&lt;w:sz w:val=&quot;22&quot;/&gt;&lt;w:sz-cs w:val=&quot;22&quot;/&gt;&lt;/w:rPr&gt;&lt;m:t&gt;ln&lt;/m:t&gt;&lt;/m:r&gt;&lt;/m:fName&gt;&lt;m:e&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lt;/m:t&gt;&lt;/m:r&gt;&lt;/m:e&gt;&lt;/m:func&gt;&lt;m:r&gt;&lt;w:rPr&gt;&lt;w:rFonts w:ascii=&quot;Cambria Math&quot; w:h-ansi=&quot;Cambria Math&quot; w:cs=&quot;Arial&quot;/&gt;&lt;wx:font wx:val=&quot;Cambria Math&quot;/&gt;&lt;w:i/&gt;&lt;w:sz w:val=&quot;22&quot;/&gt;&lt;w:sz-cs w:val=&quot;22&quot;/&gt;&lt;/w:rPr&gt;&lt;m:t&gt;+Î´&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X&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u&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250808">
        <w:rPr>
          <w:rFonts w:ascii="Arial" w:hAnsi="Arial" w:cs="Arial"/>
          <w:sz w:val="22"/>
          <w:szCs w:val="22"/>
        </w:rPr>
        <w:fldChar w:fldCharType="end"/>
      </w:r>
      <w:r w:rsidRPr="00CF7780">
        <w:rPr>
          <w:rFonts w:ascii="Arial" w:hAnsi="Arial" w:cs="Arial"/>
          <w:sz w:val="22"/>
          <w:szCs w:val="22"/>
        </w:rPr>
        <w:t xml:space="preserve">   [2], </w:t>
      </w:r>
    </w:p>
    <w:p w:rsidR="00E656CC" w:rsidRPr="00CF7780" w:rsidRDefault="00E656CC" w:rsidP="00514640">
      <w:pPr>
        <w:spacing w:before="100" w:beforeAutospacing="1" w:after="100" w:afterAutospacing="1"/>
        <w:jc w:val="both"/>
        <w:rPr>
          <w:rFonts w:ascii="Arial" w:hAnsi="Arial" w:cs="Arial"/>
          <w:sz w:val="22"/>
          <w:szCs w:val="22"/>
        </w:rPr>
      </w:pPr>
      <w:r w:rsidRPr="00CF7780">
        <w:rPr>
          <w:rFonts w:ascii="Arial" w:hAnsi="Arial" w:cs="Arial"/>
          <w:sz w:val="22"/>
          <w:szCs w:val="22"/>
        </w:rPr>
        <w:t xml:space="preserve">donde </w:t>
      </w:r>
      <w:r w:rsidRPr="00CF7780">
        <w:rPr>
          <w:rFonts w:ascii="Arial" w:hAnsi="Arial" w:cs="Arial"/>
          <w:i/>
          <w:sz w:val="22"/>
          <w:szCs w:val="22"/>
        </w:rPr>
        <w:t>X</w:t>
      </w:r>
      <w:r w:rsidRPr="00CF7780">
        <w:rPr>
          <w:rFonts w:ascii="Arial" w:hAnsi="Arial" w:cs="Arial"/>
          <w:sz w:val="22"/>
          <w:szCs w:val="22"/>
        </w:rPr>
        <w:t xml:space="preserve"> son variables condicionantes del crecimiento. Por su parte</w: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43"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0743&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F00743&quot;&gt;&lt;m:oMathPara&gt;&lt;m:oMath&gt;&lt;m:r&gt;&lt;w:rPr&gt;&lt;w:rFonts w:ascii=&quot;Cambria Math&quot; w:h-ansi=&quot;Cambria Math&quot; w:cs=&quot;Arial&quot;/&gt;&lt;wx:font wx:val=&quot;Cambria Math&quot;/&gt;&lt;w:i/&gt;&lt;w:sz w:val=&quot;22&quot;/&gt;&lt;w:sz-cs w:val=&quot;22&quot;/&gt;&lt;/w:rPr&gt;&lt;m:t&gt;,&lt;/m:t&gt;&lt;/m:r&gt;&lt;m:r&gt;&lt;m:rPr&gt;&lt;m:sty m:val=&quot;p&quot;/&gt;&lt;/m:rPr&gt;&lt;w:rPr&gt;&lt;w:rFonts w:ascii=&quot;Cambria Math&quot; w:h-ansi=&quot;Cambria Math&quot; w:cs=&quot;Arial&quot;/&gt;&lt;wx:font wx:val=&quot;Cambria Math&quot;/&gt;&lt;w:sz w:val=&quot;22&quot;/&gt;&lt;w:sz-cs w:val=&quot;22&quot;/&gt;&lt;/w:rPr&gt;&lt;m:t&gt; &lt;/m:t&gt;&lt;/m:r&gt;&lt;m:r&gt;&lt;w:rPr&gt;&lt;w:rFonts w:ascii=&quot;Cambria Math&quot; w:h-ansi=&quot;Cambria Math&quot; w:cs=&quot;Arial&quot;/&gt;&lt;wx:font wx:val=&quot;Cambria Math&quot;/&gt;&lt;w:i/&gt;&lt;w:sz w:val=&quot;22&quot;/&gt;&lt;w:sz-cs w:val=&quot;22&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44" type="#_x0000_t75" style="width:1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0743&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F00743&quot;&gt;&lt;m:oMathPara&gt;&lt;m:oMath&gt;&lt;m:r&gt;&lt;w:rPr&gt;&lt;w:rFonts w:ascii=&quot;Cambria Math&quot; w:h-ansi=&quot;Cambria Math&quot; w:cs=&quot;Arial&quot;/&gt;&lt;wx:font wx:val=&quot;Cambria Math&quot;/&gt;&lt;w:i/&gt;&lt;w:sz w:val=&quot;22&quot;/&gt;&lt;w:sz-cs w:val=&quot;22&quot;/&gt;&lt;/w:rPr&gt;&lt;m:t&gt;,&lt;/m:t&gt;&lt;/m:r&gt;&lt;m:r&gt;&lt;m:rPr&gt;&lt;m:sty m:val=&quot;p&quot;/&gt;&lt;/m:rPr&gt;&lt;w:rPr&gt;&lt;w:rFonts w:ascii=&quot;Cambria Math&quot; w:h-ansi=&quot;Cambria Math&quot; w:cs=&quot;Arial&quot;/&gt;&lt;wx:font wx:val=&quot;Cambria Math&quot;/&gt;&lt;w:sz w:val=&quot;22&quot;/&gt;&lt;w:sz-cs w:val=&quot;22&quot;/&gt;&lt;/w:rPr&gt;&lt;m:t&gt; &lt;/m:t&gt;&lt;/m:r&gt;&lt;m:r&gt;&lt;w:rPr&gt;&lt;w:rFonts w:ascii=&quot;Cambria Math&quot; w:h-ansi=&quot;Cambria Math&quot; w:cs=&quot;Arial&quot;/&gt;&lt;wx:font wx:val=&quot;Cambria Math&quot;/&gt;&lt;w:i/&gt;&lt;w:sz w:val=&quot;22&quot;/&gt;&lt;w:sz-cs w:val=&quot;22&quot;/&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250808">
        <w:rPr>
          <w:rFonts w:ascii="Arial" w:hAnsi="Arial" w:cs="Arial"/>
          <w:sz w:val="22"/>
          <w:szCs w:val="22"/>
        </w:rPr>
        <w:fldChar w:fldCharType="end"/>
      </w:r>
      <w:r w:rsidRPr="00CF7780">
        <w:rPr>
          <w:rFonts w:ascii="Arial" w:hAnsi="Arial" w:cs="Arial"/>
          <w:sz w:val="22"/>
          <w:szCs w:val="22"/>
        </w:rPr>
        <w:t xml:space="preserve"> resume la información referente al cambio tecnológico y el estado estacionario. </w:t>
      </w:r>
    </w:p>
    <w:p w:rsidR="00E656CC" w:rsidRPr="00CF7780" w:rsidRDefault="00E656CC" w:rsidP="008F771D">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Cuando se tiene en cuenta que las economías comparadas poseen características estructurales diferentes, se deben incluir en el análisis los determinantes de esas diferencias en los estados estacionarios de las mencionadas economías. </w:t>
      </w:r>
    </w:p>
    <w:p w:rsidR="00E656CC" w:rsidRPr="00CF7780" w:rsidRDefault="00E656CC" w:rsidP="008F771D">
      <w:pPr>
        <w:spacing w:before="100" w:beforeAutospacing="1" w:after="100" w:afterAutospacing="1"/>
        <w:ind w:firstLine="709"/>
        <w:jc w:val="both"/>
        <w:rPr>
          <w:rFonts w:ascii="Arial" w:hAnsi="Arial" w:cs="Arial"/>
          <w:sz w:val="22"/>
        </w:rPr>
      </w:pPr>
      <w:r w:rsidRPr="00CF7780">
        <w:rPr>
          <w:rFonts w:ascii="Arial" w:hAnsi="Arial" w:cs="Arial"/>
          <w:sz w:val="22"/>
        </w:rPr>
        <w:t>Además del producto en el año inicial (punto de partida</w:t>
      </w:r>
      <w:r w:rsidRPr="00250808">
        <w:rPr>
          <w:rFonts w:ascii="Arial" w:hAnsi="Arial" w:cs="Arial"/>
          <w:sz w:val="22"/>
        </w:rPr>
        <w:fldChar w:fldCharType="begin"/>
      </w:r>
      <w:r w:rsidRPr="00250808">
        <w:rPr>
          <w:rFonts w:ascii="Arial" w:hAnsi="Arial" w:cs="Arial"/>
          <w:sz w:val="22"/>
        </w:rPr>
        <w:instrText xml:space="preserve"> QUOTE </w:instrText>
      </w:r>
      <w:r w:rsidRPr="00250808">
        <w:pict>
          <v:shape id="_x0000_i1045"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4F4AF0&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4F4AF0&quot;&gt;&lt;m:oMathPara&gt;&lt;m:oMath&gt;&lt;m:r&gt;&lt;w:rPr&gt;&lt;w:rFonts w:ascii=&quot;Cambria Math&quot; w:h-ansi=&quot;Cambria Math&quot; w:cs=&quot;Arial&quot;/&gt;&lt;wx:font wx:val=&quot;Cambria Math&quot;/&gt;&lt;w:i/&gt;&lt;w:sz w:val=&quot;22&quot;/&gt;&lt;/w:rPr&gt;&lt;m:t&gt;, &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250808">
        <w:rPr>
          <w:rFonts w:ascii="Arial" w:hAnsi="Arial" w:cs="Arial"/>
          <w:sz w:val="22"/>
        </w:rPr>
        <w:instrText xml:space="preserve"> </w:instrText>
      </w:r>
      <w:r w:rsidRPr="00250808">
        <w:rPr>
          <w:rFonts w:ascii="Arial" w:hAnsi="Arial" w:cs="Arial"/>
          <w:sz w:val="22"/>
        </w:rPr>
        <w:fldChar w:fldCharType="separate"/>
      </w:r>
      <w:r w:rsidRPr="00250808">
        <w:pict>
          <v:shape id="_x0000_i1046"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4F4AF0&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4F4AF0&quot;&gt;&lt;m:oMathPara&gt;&lt;m:oMath&gt;&lt;m:r&gt;&lt;w:rPr&gt;&lt;w:rFonts w:ascii=&quot;Cambria Math&quot; w:h-ansi=&quot;Cambria Math&quot; w:cs=&quot;Arial&quot;/&gt;&lt;wx:font wx:val=&quot;Cambria Math&quot;/&gt;&lt;w:i/&gt;&lt;w:sz w:val=&quot;22&quot;/&gt;&lt;/w:rPr&gt;&lt;m:t&gt;, &lt;/m:t&gt;&lt;/m:r&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y&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250808">
        <w:rPr>
          <w:rFonts w:ascii="Arial" w:hAnsi="Arial" w:cs="Arial"/>
          <w:sz w:val="22"/>
        </w:rPr>
        <w:fldChar w:fldCharType="end"/>
      </w:r>
      <w:r w:rsidRPr="00CF7780">
        <w:rPr>
          <w:rFonts w:ascii="Arial" w:hAnsi="Arial" w:cs="Arial"/>
          <w:sz w:val="22"/>
        </w:rPr>
        <w:t>), hay una serie de factores (</w:t>
      </w:r>
      <w:r w:rsidRPr="00250808">
        <w:rPr>
          <w:rFonts w:ascii="Arial" w:hAnsi="Arial" w:cs="Arial"/>
          <w:sz w:val="22"/>
        </w:rPr>
        <w:fldChar w:fldCharType="begin"/>
      </w:r>
      <w:r w:rsidRPr="00250808">
        <w:rPr>
          <w:rFonts w:ascii="Arial" w:hAnsi="Arial" w:cs="Arial"/>
          <w:sz w:val="22"/>
        </w:rPr>
        <w:instrText xml:space="preserve"> QUOTE </w:instrText>
      </w:r>
      <w:r w:rsidRPr="00250808">
        <w:pict>
          <v:shape id="_x0000_i1047" type="#_x0000_t75" style="width:34.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767B0&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3767B0&quot;&gt;&lt;m:oMathPara&gt;&lt;m:oMath&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X&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250808">
        <w:rPr>
          <w:rFonts w:ascii="Arial" w:hAnsi="Arial" w:cs="Arial"/>
          <w:sz w:val="22"/>
        </w:rPr>
        <w:instrText xml:space="preserve"> </w:instrText>
      </w:r>
      <w:r w:rsidRPr="00250808">
        <w:rPr>
          <w:rFonts w:ascii="Arial" w:hAnsi="Arial" w:cs="Arial"/>
          <w:sz w:val="22"/>
        </w:rPr>
        <w:fldChar w:fldCharType="separate"/>
      </w:r>
      <w:r w:rsidRPr="00250808">
        <w:pict>
          <v:shape id="_x0000_i1048" type="#_x0000_t75" style="width:34.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767B0&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3767B0&quot;&gt;&lt;m:oMathPara&gt;&lt;m:oMath&gt;&lt;m:sSubSup&gt;&lt;m:sSubSupPr&gt;&lt;m:ctrlPr&gt;&lt;w:rPr&gt;&lt;w:rFonts w:ascii=&quot;Cambria Math&quot; w:h-ansi=&quot;Cambria Math&quot; w:cs=&quot;Arial&quot;/&gt;&lt;wx:font wx:val=&quot;Cambria Math&quot;/&gt;&lt;w:i/&gt;&lt;w:sz w:val=&quot;22&quot;/&gt;&lt;w:sz-cs w:val=&quot;22&quot;/&gt;&lt;/w:rPr&gt;&lt;/m:ctrlPr&gt;&lt;/m:sSubSupPr&gt;&lt;m:e&gt;&lt;m:r&gt;&lt;w:rPr&gt;&lt;w:rFonts w:ascii=&quot;Cambria Math&quot; w:h-ansi=&quot;Cambria Math&quot; w:cs=&quot;Arial&quot;/&gt;&lt;wx:font wx:val=&quot;Cambria Math&quot;/&gt;&lt;w:i/&gt;&lt;w:sz w:val=&quot;22&quot;/&gt;&lt;w:sz-cs w:val=&quot;22&quot;/&gt;&lt;/w:rPr&gt;&lt;m:t&gt;X&lt;/m:t&gt;&lt;/m:r&gt;&lt;/m:e&gt;&lt;m:sub&gt;&lt;m:r&gt;&lt;w:rPr&gt;&lt;w:rFonts w:ascii=&quot;Cambria Math&quot; w:h-ansi=&quot;Cambria Math&quot; w:cs=&quot;Arial&quot;/&gt;&lt;wx:font wx:val=&quot;Cambria Math&quot;/&gt;&lt;w:i/&gt;&lt;w:sz w:val=&quot;22&quot;/&gt;&lt;w:sz-cs w:val=&quot;22&quot;/&gt;&lt;/w:rPr&gt;&lt;m:t&gt;t&lt;/m:t&gt;&lt;/m:r&gt;&lt;/m:sub&gt;&lt;m:sup&gt;&lt;m:r&gt;&lt;w:rPr&gt;&lt;w:rFonts w:ascii=&quot;Cambria Math&quot; w:h-ansi=&quot;Cambria Math&quot; w:cs=&quot;Arial&quot;/&gt;&lt;wx:font wx:val=&quot;Cambria Math&quot;/&gt;&lt;w:i/&gt;&lt;w:sz w:val=&quot;22&quot;/&gt;&lt;w:sz-cs w:val=&quot;22&quot;/&gt;&lt;/w:rPr&gt;&lt;m:t&gt;i&lt;/m:t&gt;&lt;/m:r&gt;&lt;/m:sup&gt;&lt;/m:sSubSup&gt;&lt;m:r&gt;&lt;w:rPr&gt;&lt;w:rFonts w:ascii=&quot;Cambria Math&quot; w:h-ansi=&quot;Cambria Math&quot; w:cs=&quot;Arial&quot;/&gt;&lt;wx:font wx:val=&quot;Cambria Math&quot;/&gt;&lt;w:i/&gt;&lt;w:sz w:val=&quot;22&quot;/&gt;&lt;w:sz-cs w:val=&quot;22&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250808">
        <w:rPr>
          <w:rFonts w:ascii="Arial" w:hAnsi="Arial" w:cs="Arial"/>
          <w:sz w:val="22"/>
        </w:rPr>
        <w:fldChar w:fldCharType="end"/>
      </w:r>
      <w:r w:rsidRPr="00CF7780">
        <w:rPr>
          <w:rFonts w:ascii="Arial" w:hAnsi="Arial" w:cs="Arial"/>
          <w:sz w:val="22"/>
        </w:rPr>
        <w:t xml:space="preserve">que condicionan el crecimiento del Producto Bruto Geográfico per capita, que se pueden considerar parte de la siguiente clasificación: </w:t>
      </w:r>
      <w:r w:rsidRPr="00CF7780">
        <w:rPr>
          <w:rFonts w:ascii="Arial" w:hAnsi="Arial" w:cs="Arial"/>
          <w:i/>
          <w:sz w:val="22"/>
        </w:rPr>
        <w:t>variables de capital</w:t>
      </w:r>
      <w:r w:rsidRPr="00CF7780">
        <w:rPr>
          <w:rFonts w:ascii="Arial" w:hAnsi="Arial" w:cs="Arial"/>
          <w:sz w:val="22"/>
        </w:rPr>
        <w:t xml:space="preserve"> (capital físico y capital humano), y </w:t>
      </w:r>
      <w:r w:rsidRPr="00CF7780">
        <w:rPr>
          <w:rFonts w:ascii="Arial" w:hAnsi="Arial" w:cs="Arial"/>
          <w:i/>
          <w:sz w:val="22"/>
        </w:rPr>
        <w:t xml:space="preserve">otras variables </w:t>
      </w:r>
      <w:r w:rsidRPr="00CF7780">
        <w:rPr>
          <w:rFonts w:ascii="Arial" w:hAnsi="Arial" w:cs="Arial"/>
          <w:sz w:val="22"/>
        </w:rPr>
        <w:t xml:space="preserve">que reflejan las diferencias entre regiones. </w:t>
      </w:r>
    </w:p>
    <w:p w:rsidR="00E656CC" w:rsidRPr="00CF7780" w:rsidRDefault="00E656CC" w:rsidP="008F771D">
      <w:pPr>
        <w:spacing w:before="100" w:beforeAutospacing="1" w:after="100" w:afterAutospacing="1"/>
        <w:ind w:firstLine="709"/>
        <w:jc w:val="both"/>
        <w:rPr>
          <w:rFonts w:ascii="Arial" w:hAnsi="Arial" w:cs="Arial"/>
          <w:sz w:val="22"/>
        </w:rPr>
      </w:pPr>
      <w:r w:rsidRPr="00CF7780">
        <w:rPr>
          <w:rFonts w:ascii="Arial" w:hAnsi="Arial" w:cs="Arial"/>
          <w:sz w:val="22"/>
        </w:rPr>
        <w:t xml:space="preserve">El capital humano se puede observar en dos dimensiones: la educación y la salud. Las variables educacionales, se pueden medir como stock (promedio de años de escolaridad de la fuerza laboral), como flujo (empleando la tasa de matriculación en los distintos niveles educativos), o como habilidades cognitivas de la población; en tanto que para medir la salud, se utilizan diversas variables para aproximar la situación de salubridad de la población. </w:t>
      </w:r>
    </w:p>
    <w:p w:rsidR="00E656CC" w:rsidRPr="00CF7780" w:rsidRDefault="00E656CC" w:rsidP="008F771D">
      <w:pPr>
        <w:pStyle w:val="Heading2"/>
        <w:keepLines/>
        <w:numPr>
          <w:ilvl w:val="0"/>
          <w:numId w:val="0"/>
        </w:numPr>
        <w:spacing w:before="100" w:beforeAutospacing="1" w:after="100" w:afterAutospacing="1"/>
        <w:ind w:left="454" w:hanging="397"/>
        <w:rPr>
          <w:rFonts w:cs="Arial"/>
        </w:rPr>
      </w:pPr>
      <w:r w:rsidRPr="00CF7780">
        <w:rPr>
          <w:rFonts w:cs="Arial"/>
        </w:rPr>
        <w:t xml:space="preserve">V. Datos y variables </w:t>
      </w:r>
    </w:p>
    <w:p w:rsidR="00E656CC" w:rsidRPr="00CF7780" w:rsidRDefault="00E656CC" w:rsidP="008F771D">
      <w:pPr>
        <w:suppressAutoHyphens/>
        <w:spacing w:before="100" w:beforeAutospacing="1" w:after="100" w:afterAutospacing="1"/>
        <w:ind w:firstLine="709"/>
        <w:jc w:val="both"/>
        <w:rPr>
          <w:rFonts w:ascii="Arial" w:hAnsi="Arial" w:cs="Arial"/>
          <w:sz w:val="22"/>
          <w:szCs w:val="22"/>
        </w:rPr>
      </w:pPr>
      <w:r w:rsidRPr="00CF7780">
        <w:rPr>
          <w:rFonts w:ascii="Arial" w:hAnsi="Arial" w:cs="Arial"/>
          <w:sz w:val="22"/>
          <w:szCs w:val="22"/>
        </w:rPr>
        <w:t>Para el trabajo, se emplean series de tiempo para el periodo 1996-2014</w:t>
      </w:r>
      <w:r w:rsidRPr="00CF7780">
        <w:rPr>
          <w:rStyle w:val="FootnoteReference"/>
          <w:rFonts w:ascii="Arial" w:hAnsi="Arial" w:cs="Arial"/>
          <w:sz w:val="22"/>
          <w:szCs w:val="22"/>
        </w:rPr>
        <w:footnoteReference w:id="4"/>
      </w:r>
      <w:r w:rsidRPr="00CF7780">
        <w:rPr>
          <w:rFonts w:ascii="Arial" w:hAnsi="Arial" w:cs="Arial"/>
          <w:sz w:val="22"/>
          <w:szCs w:val="22"/>
        </w:rPr>
        <w:t>,</w:t>
      </w:r>
      <w:r w:rsidRPr="00CF7780">
        <w:rPr>
          <w:rStyle w:val="FootnoteReference"/>
          <w:rFonts w:ascii="Arial" w:hAnsi="Arial" w:cs="Arial"/>
          <w:sz w:val="22"/>
          <w:szCs w:val="22"/>
        </w:rPr>
        <w:t xml:space="preserve"> </w:t>
      </w:r>
      <w:r w:rsidRPr="00CF7780">
        <w:rPr>
          <w:rFonts w:ascii="Arial" w:hAnsi="Arial" w:cs="Arial"/>
          <w:sz w:val="22"/>
          <w:szCs w:val="22"/>
        </w:rPr>
        <w:t>para las 23 provincias y la Ciudad Autónoma de Buenos Aires.</w:t>
      </w:r>
    </w:p>
    <w:p w:rsidR="00E656CC" w:rsidRPr="00CF7780" w:rsidRDefault="00E656CC" w:rsidP="008F771D">
      <w:pPr>
        <w:suppressAutoHyphens/>
        <w:spacing w:before="100" w:beforeAutospacing="1" w:after="100" w:afterAutospacing="1"/>
        <w:ind w:firstLine="709"/>
        <w:jc w:val="both"/>
        <w:rPr>
          <w:rFonts w:ascii="Arial" w:hAnsi="Arial" w:cs="Arial"/>
          <w:spacing w:val="-3"/>
          <w:sz w:val="22"/>
          <w:szCs w:val="22"/>
          <w:lang w:val="es-ES_tradnl"/>
        </w:rPr>
      </w:pPr>
      <w:r w:rsidRPr="00CF7780">
        <w:rPr>
          <w:rFonts w:ascii="Arial" w:hAnsi="Arial" w:cs="Arial"/>
          <w:sz w:val="22"/>
          <w:szCs w:val="22"/>
        </w:rPr>
        <w:t xml:space="preserve">La variable dependiente es la tasa de crecimiento a cinco años del PBG per capita (tasay5a). Se utiliza la definición de T=5 -cfr. Ecuación 2-. </w:t>
      </w:r>
      <w:r w:rsidRPr="00CF7780">
        <w:rPr>
          <w:rFonts w:ascii="Arial" w:hAnsi="Arial" w:cs="Arial"/>
          <w:spacing w:val="-3"/>
          <w:sz w:val="22"/>
          <w:szCs w:val="22"/>
          <w:lang w:val="es-ES_tradnl"/>
        </w:rPr>
        <w:t xml:space="preserve">La elección de </w:t>
      </w:r>
      <w:r w:rsidRPr="00CF7780">
        <w:rPr>
          <w:rFonts w:ascii="Arial" w:hAnsi="Arial"/>
          <w:b/>
          <w:spacing w:val="-3"/>
          <w:sz w:val="22"/>
          <w:lang w:val="es-ES_tradnl"/>
        </w:rPr>
        <w:t xml:space="preserve">las variables de control </w:t>
      </w:r>
      <w:r w:rsidRPr="00CF7780">
        <w:rPr>
          <w:rFonts w:ascii="Arial" w:hAnsi="Arial" w:cs="Arial"/>
          <w:spacing w:val="-3"/>
          <w:sz w:val="22"/>
          <w:szCs w:val="22"/>
          <w:lang w:val="es-ES_tradnl"/>
        </w:rPr>
        <w:t xml:space="preserve">está inspirada en el artículo de Sala-i-Martin et al. (2004) que trabaja con 98 países para el periodo 1960 – 1992, y se ha centrado en aquellas que resultan relevantes para explicar diferencias entre provincias, a partir de Figueras et al. (2014). El vector de variables de control está formado por el nivel inicial del PBG, variables que aproximan el capital humano (educación y salud) y otros factores que permiten explicar las diferencias en la performance de largo plazo en las distintas economías regionales. </w:t>
      </w:r>
    </w:p>
    <w:p w:rsidR="00E656CC" w:rsidRPr="00CF7780" w:rsidRDefault="00E656CC" w:rsidP="000F779E">
      <w:pPr>
        <w:spacing w:before="100" w:beforeAutospacing="1" w:after="100" w:afterAutospacing="1"/>
        <w:ind w:firstLine="708"/>
        <w:jc w:val="both"/>
        <w:rPr>
          <w:rFonts w:ascii="Arial" w:hAnsi="Arial" w:cs="Arial"/>
          <w:sz w:val="22"/>
          <w:szCs w:val="22"/>
        </w:rPr>
      </w:pPr>
      <w:r w:rsidRPr="00CF7780">
        <w:rPr>
          <w:rFonts w:ascii="Arial" w:hAnsi="Arial" w:cs="Arial"/>
          <w:sz w:val="22"/>
          <w:szCs w:val="22"/>
        </w:rPr>
        <w:t>La variable que mide el nivel incial del PBGpc (l5.logpbgpc), permite analizar el fenómeno de la convergencia de las provincias a sus respectivos estados estacionarios (convergencia beta condicional).</w:t>
      </w:r>
    </w:p>
    <w:p w:rsidR="00E656CC" w:rsidRPr="00CF7780" w:rsidRDefault="00E656CC" w:rsidP="000F779E">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Los cambios en los insumos de capital, entre ellos la educación, pueden ser vistos como determinados de manera conjunta con el crecimiento económico. Según Barro, esto se debe a que las mismas dependen de variables de política y características nacionales (regionales en este caso) y de los valores iniciales de las variables de estado, humano y físico. Para un nivel dado de PIB per cápita inicial, un mayor stock inicial de capital humano implica una mayor proporción de capital humano con respecto al capital físico. Esta proporción más alta tiende a generar mayor crecimiento económico a través de al menos dos canales. En primer lugar, más capital humano facilita la absorción de tecnologías superiores. Este canal probablemente sea especialmente importante para la escolarización en los niveles secundario y superior. En segundo lugar, el capital humano tiende a ser más difícil de ajustar que el capital físico. Por lo tanto, un país que comienza con una alta proporción de capital humano a físico, tiende a crecer rápidamente si ajusta al alza la cantidad de capital físico.</w:t>
      </w:r>
    </w:p>
    <w:p w:rsidR="00E656CC" w:rsidRPr="00CF7780" w:rsidRDefault="00E656CC" w:rsidP="00EC09B4">
      <w:pPr>
        <w:suppressAutoHyphens/>
        <w:spacing w:before="120" w:after="120"/>
        <w:ind w:firstLine="709"/>
        <w:jc w:val="center"/>
        <w:rPr>
          <w:rFonts w:ascii="Arial" w:hAnsi="Arial" w:cs="Arial"/>
          <w:b/>
          <w:spacing w:val="-3"/>
          <w:sz w:val="22"/>
          <w:szCs w:val="22"/>
          <w:lang w:val="es-ES_tradnl"/>
        </w:rPr>
      </w:pPr>
      <w:r w:rsidRPr="00CF7780">
        <w:rPr>
          <w:rFonts w:ascii="Arial" w:hAnsi="Arial" w:cs="Arial"/>
          <w:b/>
          <w:spacing w:val="-3"/>
          <w:sz w:val="22"/>
          <w:szCs w:val="22"/>
          <w:lang w:val="es-ES_tradnl"/>
        </w:rPr>
        <w:t>Tabla 1. Definición de variables</w:t>
      </w:r>
    </w:p>
    <w:tbl>
      <w:tblPr>
        <w:tblW w:w="0" w:type="auto"/>
        <w:tblBorders>
          <w:top w:val="single" w:sz="8" w:space="0" w:color="4BACC6"/>
          <w:bottom w:val="single" w:sz="8" w:space="0" w:color="4BACC6"/>
        </w:tblBorders>
        <w:tblLook w:val="00A0"/>
      </w:tblPr>
      <w:tblGrid>
        <w:gridCol w:w="2030"/>
        <w:gridCol w:w="6781"/>
      </w:tblGrid>
      <w:tr w:rsidR="00E656CC" w:rsidRPr="00CF7780" w:rsidTr="00250808">
        <w:tc>
          <w:tcPr>
            <w:tcW w:w="8463" w:type="dxa"/>
            <w:gridSpan w:val="2"/>
            <w:tcBorders>
              <w:top w:val="single" w:sz="8" w:space="0" w:color="4BACC6"/>
              <w:left w:val="nil"/>
              <w:bottom w:val="single" w:sz="8" w:space="0" w:color="4BACC6"/>
              <w:right w:val="nil"/>
            </w:tcBorders>
          </w:tcPr>
          <w:p w:rsidR="00E656CC" w:rsidRPr="00250808" w:rsidRDefault="00E656CC" w:rsidP="00250808">
            <w:pPr>
              <w:jc w:val="center"/>
              <w:rPr>
                <w:rFonts w:ascii="Arial" w:hAnsi="Arial" w:cs="Arial"/>
                <w:b/>
                <w:bCs/>
                <w:sz w:val="17"/>
                <w:szCs w:val="17"/>
              </w:rPr>
            </w:pPr>
            <w:r w:rsidRPr="00250808">
              <w:rPr>
                <w:rFonts w:ascii="Arial" w:hAnsi="Arial" w:cs="Arial"/>
                <w:b/>
                <w:bCs/>
                <w:sz w:val="17"/>
                <w:szCs w:val="17"/>
              </w:rPr>
              <w:t xml:space="preserve">Variables </w:t>
            </w:r>
          </w:p>
        </w:tc>
      </w:tr>
      <w:tr w:rsidR="00E656CC" w:rsidRPr="00CF7780" w:rsidTr="00250808">
        <w:tc>
          <w:tcPr>
            <w:tcW w:w="1682" w:type="dxa"/>
            <w:tcBorders>
              <w:left w:val="nil"/>
              <w:right w:val="nil"/>
            </w:tcBorders>
            <w:shd w:val="clear" w:color="auto" w:fill="D2EAF1"/>
          </w:tcPr>
          <w:p w:rsidR="00E656CC" w:rsidRPr="00250808" w:rsidRDefault="00E656CC" w:rsidP="004B3518">
            <w:pPr>
              <w:rPr>
                <w:rFonts w:ascii="Arial" w:hAnsi="Arial" w:cs="Arial"/>
                <w:b/>
                <w:bCs/>
                <w:sz w:val="17"/>
                <w:szCs w:val="17"/>
              </w:rPr>
            </w:pPr>
            <w:r w:rsidRPr="00250808">
              <w:rPr>
                <w:rFonts w:ascii="Arial" w:hAnsi="Arial" w:cs="Arial"/>
                <w:b/>
                <w:bCs/>
                <w:sz w:val="17"/>
                <w:szCs w:val="17"/>
              </w:rPr>
              <w:t>tasay5a</w:t>
            </w:r>
          </w:p>
        </w:tc>
        <w:tc>
          <w:tcPr>
            <w:tcW w:w="6781" w:type="dxa"/>
            <w:tcBorders>
              <w:left w:val="nil"/>
              <w:bottom w:val="nil"/>
              <w:right w:val="nil"/>
            </w:tcBorders>
            <w:shd w:val="clear" w:color="auto" w:fill="D2EAF1"/>
          </w:tcPr>
          <w:p w:rsidR="00E656CC" w:rsidRPr="00250808" w:rsidRDefault="00E656CC" w:rsidP="00250808">
            <w:pPr>
              <w:jc w:val="both"/>
              <w:rPr>
                <w:rFonts w:ascii="Arial" w:hAnsi="Arial" w:cs="Arial"/>
                <w:sz w:val="17"/>
                <w:szCs w:val="17"/>
              </w:rPr>
            </w:pPr>
            <w:r w:rsidRPr="00250808">
              <w:rPr>
                <w:rFonts w:ascii="Arial" w:hAnsi="Arial" w:cs="Arial"/>
                <w:sz w:val="17"/>
                <w:szCs w:val="17"/>
              </w:rPr>
              <w:t>Tasa de crecimiento del PBG provincial promedio entre el año t y t-5 (a precios de 1993). Fuente: Elaboración propia en base a Direcciones de Estadística Provinciales, CFI e INDEC.</w:t>
            </w:r>
          </w:p>
        </w:tc>
      </w:tr>
      <w:tr w:rsidR="00E656CC" w:rsidRPr="00CF7780" w:rsidTr="00250808">
        <w:tc>
          <w:tcPr>
            <w:tcW w:w="1682" w:type="dxa"/>
          </w:tcPr>
          <w:p w:rsidR="00E656CC" w:rsidRPr="00250808" w:rsidRDefault="00E656CC" w:rsidP="00BD7E1D">
            <w:pPr>
              <w:rPr>
                <w:rFonts w:ascii="Arial" w:hAnsi="Arial" w:cs="Arial"/>
                <w:b/>
                <w:bCs/>
                <w:sz w:val="17"/>
                <w:szCs w:val="17"/>
              </w:rPr>
            </w:pPr>
            <w:r w:rsidRPr="00250808">
              <w:rPr>
                <w:rFonts w:ascii="Arial" w:hAnsi="Arial" w:cs="Arial"/>
                <w:b/>
                <w:bCs/>
                <w:sz w:val="17"/>
                <w:szCs w:val="17"/>
              </w:rPr>
              <w:t>l5.logpbgpc</w:t>
            </w:r>
          </w:p>
        </w:tc>
        <w:tc>
          <w:tcPr>
            <w:tcW w:w="6781" w:type="dxa"/>
            <w:tcBorders>
              <w:left w:val="nil"/>
              <w:bottom w:val="nil"/>
              <w:right w:val="nil"/>
            </w:tcBorders>
          </w:tcPr>
          <w:p w:rsidR="00E656CC" w:rsidRPr="00250808" w:rsidRDefault="00E656CC" w:rsidP="00250808">
            <w:pPr>
              <w:jc w:val="both"/>
              <w:rPr>
                <w:rFonts w:ascii="Arial" w:hAnsi="Arial" w:cs="Arial"/>
                <w:sz w:val="17"/>
                <w:szCs w:val="17"/>
              </w:rPr>
            </w:pPr>
            <w:r w:rsidRPr="00250808">
              <w:rPr>
                <w:rFonts w:ascii="Arial" w:hAnsi="Arial" w:cs="Arial"/>
                <w:sz w:val="17"/>
                <w:szCs w:val="17"/>
              </w:rPr>
              <w:t>Logaritmo del PBG per capita en el año t-5 (a precios de 1993).</w:t>
            </w:r>
          </w:p>
        </w:tc>
      </w:tr>
      <w:tr w:rsidR="00E656CC" w:rsidRPr="00CF7780" w:rsidTr="00250808">
        <w:tc>
          <w:tcPr>
            <w:tcW w:w="1682" w:type="dxa"/>
            <w:tcBorders>
              <w:left w:val="nil"/>
              <w:right w:val="nil"/>
            </w:tcBorders>
            <w:shd w:val="clear" w:color="auto" w:fill="D2EAF1"/>
          </w:tcPr>
          <w:p w:rsidR="00E656CC" w:rsidRPr="00250808" w:rsidRDefault="00E656CC" w:rsidP="004B3518">
            <w:pPr>
              <w:rPr>
                <w:rFonts w:ascii="Arial" w:hAnsi="Arial" w:cs="Arial"/>
                <w:b/>
                <w:bCs/>
                <w:sz w:val="17"/>
                <w:szCs w:val="17"/>
              </w:rPr>
            </w:pPr>
            <w:r w:rsidRPr="00250808">
              <w:rPr>
                <w:rFonts w:ascii="Arial" w:hAnsi="Arial" w:cs="Arial"/>
                <w:b/>
                <w:bCs/>
                <w:sz w:val="17"/>
                <w:szCs w:val="17"/>
              </w:rPr>
              <w:t>l5.mort</w:t>
            </w:r>
          </w:p>
        </w:tc>
        <w:tc>
          <w:tcPr>
            <w:tcW w:w="6781" w:type="dxa"/>
            <w:tcBorders>
              <w:left w:val="nil"/>
              <w:bottom w:val="nil"/>
              <w:right w:val="nil"/>
            </w:tcBorders>
            <w:shd w:val="clear" w:color="auto" w:fill="D2EAF1"/>
          </w:tcPr>
          <w:p w:rsidR="00E656CC" w:rsidRPr="00250808" w:rsidRDefault="00E656CC" w:rsidP="00250808">
            <w:pPr>
              <w:jc w:val="both"/>
              <w:rPr>
                <w:rFonts w:ascii="Arial" w:hAnsi="Arial" w:cs="Arial"/>
                <w:sz w:val="17"/>
                <w:szCs w:val="17"/>
              </w:rPr>
            </w:pPr>
            <w:r w:rsidRPr="00250808">
              <w:rPr>
                <w:rFonts w:ascii="Arial" w:hAnsi="Arial" w:cs="Arial"/>
                <w:sz w:val="17"/>
                <w:szCs w:val="17"/>
              </w:rPr>
              <w:t>Tasa de mortalidad infantil por mil nacidos vivos, según provincia de residencia de la madre en el año t-5 (Fuente: INDEC)</w:t>
            </w:r>
          </w:p>
        </w:tc>
      </w:tr>
      <w:tr w:rsidR="00E656CC" w:rsidRPr="00CF7780" w:rsidTr="00250808">
        <w:tc>
          <w:tcPr>
            <w:tcW w:w="1682" w:type="dxa"/>
          </w:tcPr>
          <w:p w:rsidR="00E656CC" w:rsidRPr="00250808" w:rsidRDefault="00E656CC" w:rsidP="00A73FBF">
            <w:pPr>
              <w:rPr>
                <w:rFonts w:ascii="Arial" w:hAnsi="Arial"/>
                <w:b/>
                <w:bCs/>
                <w:sz w:val="17"/>
                <w:szCs w:val="17"/>
              </w:rPr>
            </w:pPr>
            <w:r w:rsidRPr="00250808">
              <w:rPr>
                <w:rFonts w:ascii="Arial" w:hAnsi="Arial"/>
                <w:b/>
                <w:bCs/>
                <w:sz w:val="17"/>
                <w:szCs w:val="17"/>
              </w:rPr>
              <w:t>l5.fert</w:t>
            </w:r>
          </w:p>
        </w:tc>
        <w:tc>
          <w:tcPr>
            <w:tcW w:w="6781" w:type="dxa"/>
            <w:tcBorders>
              <w:left w:val="nil"/>
              <w:bottom w:val="nil"/>
              <w:right w:val="nil"/>
            </w:tcBorders>
          </w:tcPr>
          <w:p w:rsidR="00E656CC" w:rsidRPr="00250808" w:rsidRDefault="00E656CC" w:rsidP="00250808">
            <w:pPr>
              <w:jc w:val="both"/>
              <w:rPr>
                <w:rFonts w:ascii="Arial" w:hAnsi="Arial"/>
                <w:sz w:val="17"/>
                <w:szCs w:val="17"/>
              </w:rPr>
            </w:pPr>
            <w:r w:rsidRPr="00250808">
              <w:rPr>
                <w:rFonts w:ascii="Arial" w:hAnsi="Arial" w:cs="Arial"/>
                <w:sz w:val="17"/>
                <w:szCs w:val="17"/>
              </w:rPr>
              <w:t>Tasa bruta de natalidad por mil habitantes, según provincia de residencia de la madre, en el año t-5 (Fuente: INDEC)</w:t>
            </w:r>
          </w:p>
        </w:tc>
      </w:tr>
      <w:tr w:rsidR="00E656CC" w:rsidRPr="00CF7780" w:rsidTr="00250808">
        <w:tc>
          <w:tcPr>
            <w:tcW w:w="1682" w:type="dxa"/>
            <w:tcBorders>
              <w:left w:val="nil"/>
              <w:right w:val="nil"/>
            </w:tcBorders>
            <w:shd w:val="clear" w:color="auto" w:fill="D2EAF1"/>
          </w:tcPr>
          <w:p w:rsidR="00E656CC" w:rsidRPr="00250808" w:rsidRDefault="00E656CC" w:rsidP="00A73FBF">
            <w:pPr>
              <w:rPr>
                <w:rFonts w:ascii="Arial" w:hAnsi="Arial" w:cs="Arial"/>
                <w:b/>
                <w:bCs/>
                <w:sz w:val="17"/>
                <w:szCs w:val="17"/>
              </w:rPr>
            </w:pPr>
            <w:r w:rsidRPr="00250808">
              <w:rPr>
                <w:rFonts w:ascii="Arial" w:hAnsi="Arial" w:cs="Arial"/>
                <w:b/>
                <w:bCs/>
                <w:sz w:val="17"/>
                <w:szCs w:val="17"/>
              </w:rPr>
              <w:t>l5.tmatric_prim</w:t>
            </w:r>
          </w:p>
        </w:tc>
        <w:tc>
          <w:tcPr>
            <w:tcW w:w="6781" w:type="dxa"/>
            <w:tcBorders>
              <w:left w:val="nil"/>
              <w:bottom w:val="nil"/>
              <w:right w:val="nil"/>
            </w:tcBorders>
            <w:shd w:val="clear" w:color="auto" w:fill="D2EAF1"/>
          </w:tcPr>
          <w:p w:rsidR="00E656CC" w:rsidRPr="00250808" w:rsidRDefault="00E656CC" w:rsidP="00250808">
            <w:pPr>
              <w:jc w:val="both"/>
              <w:rPr>
                <w:rFonts w:ascii="Arial" w:hAnsi="Arial" w:cs="Arial"/>
                <w:sz w:val="17"/>
                <w:szCs w:val="17"/>
              </w:rPr>
            </w:pPr>
            <w:r w:rsidRPr="00250808">
              <w:rPr>
                <w:rFonts w:ascii="Arial" w:hAnsi="Arial" w:cs="Arial"/>
                <w:sz w:val="17"/>
                <w:szCs w:val="17"/>
              </w:rPr>
              <w:t>Cantidad de matriculados en el año t-5 en el ciclo de enseñanza primaria respecto del total de población estimada entre 6 y 11 años. Fuente: Elaboración propia a partir de Relevamientos Anuales – DiNIECE (Ministerio de Educación) y Censos Nacionales de Población y Vivienda 1980, 1991, 2000 y 2010.</w:t>
            </w:r>
          </w:p>
        </w:tc>
      </w:tr>
      <w:tr w:rsidR="00E656CC" w:rsidRPr="00CF7780" w:rsidTr="00250808">
        <w:tc>
          <w:tcPr>
            <w:tcW w:w="1682" w:type="dxa"/>
          </w:tcPr>
          <w:p w:rsidR="00E656CC" w:rsidRPr="00250808" w:rsidRDefault="00E656CC" w:rsidP="004B3518">
            <w:pPr>
              <w:rPr>
                <w:rFonts w:ascii="Arial" w:hAnsi="Arial" w:cs="Arial"/>
                <w:b/>
                <w:bCs/>
                <w:sz w:val="17"/>
                <w:szCs w:val="17"/>
              </w:rPr>
            </w:pPr>
            <w:r w:rsidRPr="00250808">
              <w:rPr>
                <w:rFonts w:ascii="Arial" w:hAnsi="Arial" w:cs="Arial"/>
                <w:b/>
                <w:bCs/>
                <w:sz w:val="17"/>
                <w:szCs w:val="17"/>
              </w:rPr>
              <w:t>l5.tmatric_sec</w:t>
            </w:r>
          </w:p>
        </w:tc>
        <w:tc>
          <w:tcPr>
            <w:tcW w:w="6781" w:type="dxa"/>
            <w:tcBorders>
              <w:left w:val="nil"/>
              <w:bottom w:val="nil"/>
              <w:right w:val="nil"/>
            </w:tcBorders>
          </w:tcPr>
          <w:p w:rsidR="00E656CC" w:rsidRPr="00250808" w:rsidRDefault="00E656CC" w:rsidP="00250808">
            <w:pPr>
              <w:jc w:val="both"/>
              <w:rPr>
                <w:rFonts w:ascii="Arial" w:hAnsi="Arial" w:cs="Arial"/>
                <w:sz w:val="17"/>
                <w:szCs w:val="17"/>
              </w:rPr>
            </w:pPr>
            <w:r w:rsidRPr="00250808">
              <w:rPr>
                <w:rFonts w:ascii="Arial" w:hAnsi="Arial" w:cs="Arial"/>
                <w:sz w:val="17"/>
                <w:szCs w:val="17"/>
              </w:rPr>
              <w:t>Cantidad de matriculados en el año t-5 en el ciclo de enseñanza secundaria respecto del total de población estimada entre 12 y 17 años. Fuente: Elaboración propia a partir de Relevamientos Anuales – DiNIECE (Ministerio de Educación) y Censos Nacionales de Población y Vivienda 1980, 1991, 2000 y 2010.</w:t>
            </w:r>
          </w:p>
        </w:tc>
      </w:tr>
      <w:tr w:rsidR="00E656CC" w:rsidRPr="00CF7780" w:rsidTr="00250808">
        <w:tc>
          <w:tcPr>
            <w:tcW w:w="1682" w:type="dxa"/>
            <w:tcBorders>
              <w:left w:val="nil"/>
              <w:right w:val="nil"/>
            </w:tcBorders>
            <w:shd w:val="clear" w:color="auto" w:fill="D2EAF1"/>
          </w:tcPr>
          <w:p w:rsidR="00E656CC" w:rsidRPr="00250808" w:rsidRDefault="00E656CC" w:rsidP="004B3518">
            <w:pPr>
              <w:rPr>
                <w:rFonts w:ascii="Arial" w:hAnsi="Arial" w:cs="Arial"/>
                <w:b/>
                <w:bCs/>
                <w:sz w:val="17"/>
                <w:szCs w:val="17"/>
              </w:rPr>
            </w:pPr>
            <w:r w:rsidRPr="00250808">
              <w:rPr>
                <w:rFonts w:ascii="Arial" w:hAnsi="Arial" w:cs="Arial"/>
                <w:b/>
                <w:bCs/>
                <w:sz w:val="17"/>
                <w:szCs w:val="17"/>
              </w:rPr>
              <w:t>l5.t_matric_snu</w:t>
            </w:r>
            <w:r w:rsidRPr="00250808">
              <w:rPr>
                <w:rFonts w:ascii="Arial" w:hAnsi="Arial" w:cs="Arial"/>
                <w:sz w:val="17"/>
                <w:szCs w:val="17"/>
              </w:rPr>
              <w:t xml:space="preserve"> </w:t>
            </w:r>
          </w:p>
        </w:tc>
        <w:tc>
          <w:tcPr>
            <w:tcW w:w="6781" w:type="dxa"/>
            <w:tcBorders>
              <w:left w:val="nil"/>
              <w:bottom w:val="nil"/>
              <w:right w:val="nil"/>
            </w:tcBorders>
            <w:shd w:val="clear" w:color="auto" w:fill="D2EAF1"/>
          </w:tcPr>
          <w:p w:rsidR="00E656CC" w:rsidRPr="00250808" w:rsidRDefault="00E656CC" w:rsidP="00250808">
            <w:pPr>
              <w:jc w:val="both"/>
              <w:rPr>
                <w:rFonts w:ascii="Arial" w:hAnsi="Arial" w:cs="Arial"/>
                <w:sz w:val="17"/>
                <w:szCs w:val="17"/>
              </w:rPr>
            </w:pPr>
            <w:r w:rsidRPr="00250808">
              <w:rPr>
                <w:rFonts w:ascii="Arial" w:hAnsi="Arial" w:cs="Arial"/>
                <w:sz w:val="17"/>
                <w:szCs w:val="17"/>
              </w:rPr>
              <w:t>Cantidad de matriculados en el año t-5 en el ciclo de enseñanza superior no universitaria respecto del total de población estimada entre 18 y 24 años. Fuente: Elaboración propia a partir de Relevamientos Anuales – DiNIECE (Ministerio de Educación) y Censos Nacionales de Población y Vivienda 1980, 1991, 2000 y 2010.</w:t>
            </w:r>
          </w:p>
        </w:tc>
      </w:tr>
      <w:tr w:rsidR="00E656CC" w:rsidRPr="00CF7780" w:rsidTr="00250808">
        <w:tc>
          <w:tcPr>
            <w:tcW w:w="1682" w:type="dxa"/>
          </w:tcPr>
          <w:p w:rsidR="00E656CC" w:rsidRPr="00250808" w:rsidRDefault="00E656CC" w:rsidP="00C4787E">
            <w:pPr>
              <w:rPr>
                <w:rFonts w:ascii="Arial" w:hAnsi="Arial" w:cs="Arial"/>
                <w:b/>
                <w:bCs/>
                <w:sz w:val="17"/>
                <w:szCs w:val="17"/>
              </w:rPr>
            </w:pPr>
            <w:r w:rsidRPr="00250808">
              <w:rPr>
                <w:rFonts w:ascii="Arial" w:hAnsi="Arial" w:cs="Arial"/>
                <w:b/>
                <w:bCs/>
                <w:sz w:val="17"/>
                <w:szCs w:val="17"/>
              </w:rPr>
              <w:t xml:space="preserve">l5.t_matric_u </w:t>
            </w:r>
          </w:p>
        </w:tc>
        <w:tc>
          <w:tcPr>
            <w:tcW w:w="6781" w:type="dxa"/>
            <w:tcBorders>
              <w:left w:val="nil"/>
              <w:bottom w:val="nil"/>
              <w:right w:val="nil"/>
            </w:tcBorders>
          </w:tcPr>
          <w:p w:rsidR="00E656CC" w:rsidRPr="00250808" w:rsidRDefault="00E656CC" w:rsidP="00250808">
            <w:pPr>
              <w:jc w:val="both"/>
              <w:rPr>
                <w:rFonts w:ascii="Arial" w:hAnsi="Arial" w:cs="Arial"/>
                <w:sz w:val="17"/>
                <w:szCs w:val="17"/>
              </w:rPr>
            </w:pPr>
            <w:r w:rsidRPr="00250808">
              <w:rPr>
                <w:rFonts w:ascii="Arial" w:hAnsi="Arial" w:cs="Arial"/>
                <w:sz w:val="17"/>
                <w:szCs w:val="17"/>
              </w:rPr>
              <w:t>Cantidad de matriculados en las universidades públicas ubicadas en cada provincia (excepto UTN) en el año t-5, respecto del total de población estimada entre 18 y 24 años. Fuente: Anuario de Estadísticas Universitarias (SPU) – Ministerio de Educación.</w:t>
            </w:r>
          </w:p>
        </w:tc>
      </w:tr>
      <w:tr w:rsidR="00E656CC" w:rsidRPr="00CF7780" w:rsidTr="00250808">
        <w:tc>
          <w:tcPr>
            <w:tcW w:w="1682" w:type="dxa"/>
            <w:tcBorders>
              <w:left w:val="nil"/>
              <w:right w:val="nil"/>
            </w:tcBorders>
            <w:shd w:val="clear" w:color="auto" w:fill="D2EAF1"/>
          </w:tcPr>
          <w:p w:rsidR="00E656CC" w:rsidRPr="00250808" w:rsidRDefault="00E656CC" w:rsidP="004B3518">
            <w:pPr>
              <w:rPr>
                <w:rFonts w:ascii="Arial" w:hAnsi="Arial"/>
                <w:b/>
                <w:bCs/>
                <w:sz w:val="17"/>
                <w:szCs w:val="17"/>
                <w:lang w:val="fr-BE"/>
              </w:rPr>
            </w:pPr>
            <w:r w:rsidRPr="00250808">
              <w:rPr>
                <w:rFonts w:ascii="Arial" w:hAnsi="Arial"/>
                <w:b/>
                <w:bCs/>
                <w:sz w:val="17"/>
                <w:szCs w:val="17"/>
                <w:lang w:val="fr-BE"/>
              </w:rPr>
              <w:t>l5.edu_prim l5.edu_sec</w:t>
            </w:r>
          </w:p>
          <w:p w:rsidR="00E656CC" w:rsidRPr="00250808" w:rsidRDefault="00E656CC" w:rsidP="004B3518">
            <w:pPr>
              <w:rPr>
                <w:rFonts w:ascii="Arial" w:hAnsi="Arial"/>
                <w:b/>
                <w:bCs/>
                <w:sz w:val="17"/>
                <w:szCs w:val="17"/>
                <w:lang w:val="fr-BE"/>
              </w:rPr>
            </w:pPr>
            <w:r w:rsidRPr="00250808">
              <w:rPr>
                <w:rFonts w:ascii="Arial" w:hAnsi="Arial"/>
                <w:b/>
                <w:bCs/>
                <w:sz w:val="17"/>
                <w:szCs w:val="17"/>
                <w:lang w:val="fr-BE"/>
              </w:rPr>
              <w:t>l5.edu_sup</w:t>
            </w:r>
          </w:p>
        </w:tc>
        <w:tc>
          <w:tcPr>
            <w:tcW w:w="6781" w:type="dxa"/>
            <w:tcBorders>
              <w:left w:val="nil"/>
              <w:bottom w:val="nil"/>
              <w:right w:val="nil"/>
            </w:tcBorders>
            <w:shd w:val="clear" w:color="auto" w:fill="D2EAF1"/>
          </w:tcPr>
          <w:p w:rsidR="00E656CC" w:rsidRPr="00250808" w:rsidRDefault="00E656CC" w:rsidP="00250808">
            <w:pPr>
              <w:jc w:val="both"/>
              <w:rPr>
                <w:rFonts w:ascii="Arial" w:hAnsi="Arial"/>
                <w:sz w:val="17"/>
                <w:szCs w:val="17"/>
                <w:lang w:val="fr-BE"/>
              </w:rPr>
            </w:pPr>
            <w:r w:rsidRPr="00250808">
              <w:rPr>
                <w:rFonts w:ascii="Arial" w:hAnsi="Arial" w:cs="Arial"/>
                <w:sz w:val="17"/>
                <w:szCs w:val="17"/>
                <w:lang w:val="es-AR"/>
              </w:rPr>
              <w:t xml:space="preserve">Cantidad de años de educación completados promedio, según nivel educativo (primario, secundario o educación superior (universitaria y no universitaria), por provincia, (según ubicación de aglomerados) </w:t>
            </w:r>
            <w:r w:rsidRPr="00250808">
              <w:rPr>
                <w:rFonts w:ascii="Arial" w:hAnsi="Arial" w:cs="Arial"/>
                <w:sz w:val="17"/>
                <w:szCs w:val="17"/>
              </w:rPr>
              <w:t xml:space="preserve">en el año t-5. </w:t>
            </w:r>
            <w:r w:rsidRPr="00250808">
              <w:rPr>
                <w:rFonts w:ascii="Arial" w:hAnsi="Arial" w:cs="Arial"/>
                <w:sz w:val="17"/>
                <w:szCs w:val="17"/>
                <w:lang w:val="fr-BE"/>
              </w:rPr>
              <w:t>Fuente : Encuesta Permanente de Hogares (3era onda).</w:t>
            </w:r>
          </w:p>
        </w:tc>
      </w:tr>
      <w:tr w:rsidR="00E656CC" w:rsidRPr="00CF7780" w:rsidTr="00250808">
        <w:tc>
          <w:tcPr>
            <w:tcW w:w="1682" w:type="dxa"/>
          </w:tcPr>
          <w:p w:rsidR="00E656CC" w:rsidRPr="00250808" w:rsidRDefault="00E656CC" w:rsidP="004B3518">
            <w:pPr>
              <w:rPr>
                <w:rFonts w:ascii="Arial" w:hAnsi="Arial" w:cs="Arial"/>
                <w:b/>
                <w:bCs/>
                <w:sz w:val="17"/>
                <w:szCs w:val="17"/>
              </w:rPr>
            </w:pPr>
            <w:r w:rsidRPr="00250808">
              <w:rPr>
                <w:rFonts w:ascii="Arial" w:hAnsi="Arial" w:cs="Arial"/>
                <w:b/>
                <w:bCs/>
                <w:sz w:val="17"/>
                <w:szCs w:val="17"/>
              </w:rPr>
              <w:t>l5.inv_pbg</w:t>
            </w:r>
          </w:p>
        </w:tc>
        <w:tc>
          <w:tcPr>
            <w:tcW w:w="6781" w:type="dxa"/>
            <w:tcBorders>
              <w:left w:val="nil"/>
              <w:bottom w:val="nil"/>
              <w:right w:val="nil"/>
            </w:tcBorders>
          </w:tcPr>
          <w:p w:rsidR="00E656CC" w:rsidRPr="00250808" w:rsidRDefault="00E656CC" w:rsidP="00250808">
            <w:pPr>
              <w:jc w:val="both"/>
              <w:rPr>
                <w:rFonts w:ascii="Arial" w:hAnsi="Arial" w:cs="Arial"/>
                <w:sz w:val="17"/>
                <w:szCs w:val="17"/>
              </w:rPr>
            </w:pPr>
            <w:r w:rsidRPr="00250808">
              <w:rPr>
                <w:rFonts w:ascii="Arial" w:hAnsi="Arial" w:cs="Arial"/>
                <w:sz w:val="17"/>
                <w:szCs w:val="17"/>
              </w:rPr>
              <w:t>Inversión Real Directa provincial presupuestada respecto del Producto Bruto Geográfico en el año t-5 (a precios de 1993). Fuente: Elaboración propia en base a Direcciones de Estadística Provinciales, CFI, ASAP y Dirección Nacional de Coordinación Fiscal con las Provincias.</w:t>
            </w:r>
          </w:p>
        </w:tc>
      </w:tr>
      <w:tr w:rsidR="00E656CC" w:rsidRPr="00CF7780" w:rsidTr="00250808">
        <w:tc>
          <w:tcPr>
            <w:tcW w:w="1682" w:type="dxa"/>
            <w:tcBorders>
              <w:left w:val="nil"/>
              <w:right w:val="nil"/>
            </w:tcBorders>
            <w:shd w:val="clear" w:color="auto" w:fill="D2EAF1"/>
          </w:tcPr>
          <w:p w:rsidR="00E656CC" w:rsidRPr="00250808" w:rsidRDefault="00E656CC" w:rsidP="004B3518">
            <w:pPr>
              <w:rPr>
                <w:rFonts w:ascii="Arial" w:hAnsi="Arial" w:cs="Arial"/>
                <w:b/>
                <w:bCs/>
                <w:sz w:val="17"/>
                <w:szCs w:val="17"/>
              </w:rPr>
            </w:pPr>
            <w:r w:rsidRPr="00250808">
              <w:rPr>
                <w:rFonts w:ascii="Arial" w:hAnsi="Arial" w:cs="Arial"/>
                <w:b/>
                <w:bCs/>
                <w:sz w:val="17"/>
                <w:szCs w:val="17"/>
              </w:rPr>
              <w:t>l5.gd5_pbg</w:t>
            </w:r>
            <w:r w:rsidRPr="00250808">
              <w:rPr>
                <w:rFonts w:ascii="Arial" w:hAnsi="Arial" w:cs="Arial"/>
                <w:sz w:val="17"/>
                <w:szCs w:val="17"/>
              </w:rPr>
              <w:t xml:space="preserve"> </w:t>
            </w:r>
          </w:p>
        </w:tc>
        <w:tc>
          <w:tcPr>
            <w:tcW w:w="6781" w:type="dxa"/>
            <w:tcBorders>
              <w:left w:val="nil"/>
              <w:bottom w:val="nil"/>
              <w:right w:val="nil"/>
            </w:tcBorders>
            <w:shd w:val="clear" w:color="auto" w:fill="D2EAF1"/>
          </w:tcPr>
          <w:p w:rsidR="00E656CC" w:rsidRPr="00250808" w:rsidRDefault="00E656CC" w:rsidP="00250808">
            <w:pPr>
              <w:jc w:val="both"/>
              <w:rPr>
                <w:rFonts w:ascii="Arial" w:hAnsi="Arial" w:cs="Arial"/>
                <w:sz w:val="17"/>
                <w:szCs w:val="17"/>
              </w:rPr>
            </w:pPr>
            <w:r w:rsidRPr="00250808">
              <w:rPr>
                <w:rFonts w:ascii="Arial" w:hAnsi="Arial" w:cs="Arial"/>
                <w:sz w:val="17"/>
                <w:szCs w:val="17"/>
              </w:rPr>
              <w:t>Participación en el año t-5 del sector Construcción pública y privada (Gran División 5) en el Producto Bruto Geográfico Provincial (a precios de 1993). Fuente: Elaboración propia en base a Direcciones de Estadística Provinciales, CFI e INDEC.</w:t>
            </w:r>
          </w:p>
        </w:tc>
      </w:tr>
      <w:tr w:rsidR="00E656CC" w:rsidRPr="00CF7780" w:rsidTr="00250808">
        <w:tc>
          <w:tcPr>
            <w:tcW w:w="1682" w:type="dxa"/>
          </w:tcPr>
          <w:p w:rsidR="00E656CC" w:rsidRPr="00250808" w:rsidRDefault="00E656CC" w:rsidP="00D817FE">
            <w:pPr>
              <w:rPr>
                <w:rFonts w:ascii="Arial" w:hAnsi="Arial"/>
                <w:b/>
                <w:bCs/>
                <w:color w:val="31849B"/>
                <w:sz w:val="17"/>
                <w:szCs w:val="17"/>
              </w:rPr>
            </w:pPr>
            <w:r w:rsidRPr="00250808">
              <w:rPr>
                <w:rFonts w:ascii="Arial" w:hAnsi="Arial"/>
                <w:b/>
                <w:bCs/>
                <w:sz w:val="17"/>
                <w:szCs w:val="17"/>
              </w:rPr>
              <w:t xml:space="preserve">l5.dFiscal_GT </w:t>
            </w:r>
          </w:p>
        </w:tc>
        <w:tc>
          <w:tcPr>
            <w:tcW w:w="6781" w:type="dxa"/>
            <w:tcBorders>
              <w:left w:val="nil"/>
              <w:bottom w:val="nil"/>
              <w:right w:val="nil"/>
            </w:tcBorders>
          </w:tcPr>
          <w:p w:rsidR="00E656CC" w:rsidRPr="00250808" w:rsidRDefault="00E656CC" w:rsidP="00250808">
            <w:pPr>
              <w:jc w:val="both"/>
              <w:rPr>
                <w:rFonts w:ascii="Arial" w:hAnsi="Arial" w:cs="Arial"/>
                <w:color w:val="31849B"/>
                <w:sz w:val="17"/>
                <w:szCs w:val="17"/>
              </w:rPr>
            </w:pPr>
            <w:r w:rsidRPr="00250808">
              <w:rPr>
                <w:rFonts w:ascii="Arial" w:hAnsi="Arial" w:cs="Arial"/>
                <w:sz w:val="17"/>
                <w:szCs w:val="17"/>
              </w:rPr>
              <w:t xml:space="preserve">Cociente entre Déficit Fiscal y Gasto Total provincial (presupuestado) en el año t-5. Fuente: Elaboración propia en base a Direcciones de Estadística Provinciales, CFI, ASAP y Dirección Nacional de Coordinación Fiscal con las Provincias. </w:t>
            </w:r>
          </w:p>
        </w:tc>
      </w:tr>
      <w:tr w:rsidR="00E656CC" w:rsidRPr="00CF7780" w:rsidTr="00250808">
        <w:tc>
          <w:tcPr>
            <w:tcW w:w="1682" w:type="dxa"/>
            <w:tcBorders>
              <w:left w:val="nil"/>
              <w:right w:val="nil"/>
            </w:tcBorders>
            <w:shd w:val="clear" w:color="auto" w:fill="D2EAF1"/>
          </w:tcPr>
          <w:p w:rsidR="00E656CC" w:rsidRPr="00250808" w:rsidRDefault="00E656CC" w:rsidP="000F779E">
            <w:pPr>
              <w:rPr>
                <w:rFonts w:ascii="Arial" w:hAnsi="Arial" w:cs="Arial"/>
                <w:b/>
                <w:bCs/>
                <w:sz w:val="17"/>
                <w:szCs w:val="17"/>
              </w:rPr>
            </w:pPr>
            <w:r w:rsidRPr="00250808">
              <w:rPr>
                <w:rFonts w:ascii="Arial" w:hAnsi="Arial" w:cs="Arial"/>
                <w:b/>
                <w:bCs/>
                <w:sz w:val="17"/>
                <w:szCs w:val="17"/>
              </w:rPr>
              <w:t xml:space="preserve">l5.ITPropios_ITTotales </w:t>
            </w:r>
          </w:p>
          <w:p w:rsidR="00E656CC" w:rsidRPr="00250808" w:rsidRDefault="00E656CC" w:rsidP="001F4884">
            <w:pPr>
              <w:rPr>
                <w:rFonts w:ascii="Arial" w:hAnsi="Arial" w:cs="Arial"/>
                <w:b/>
                <w:bCs/>
                <w:sz w:val="17"/>
                <w:szCs w:val="17"/>
              </w:rPr>
            </w:pPr>
          </w:p>
        </w:tc>
        <w:tc>
          <w:tcPr>
            <w:tcW w:w="6781" w:type="dxa"/>
            <w:tcBorders>
              <w:left w:val="nil"/>
              <w:bottom w:val="nil"/>
              <w:right w:val="nil"/>
            </w:tcBorders>
            <w:shd w:val="clear" w:color="auto" w:fill="D2EAF1"/>
          </w:tcPr>
          <w:p w:rsidR="00E656CC" w:rsidRPr="00250808" w:rsidRDefault="00E656CC" w:rsidP="000F779E">
            <w:pPr>
              <w:rPr>
                <w:rFonts w:ascii="Arial" w:hAnsi="Arial" w:cs="Arial"/>
                <w:bCs/>
                <w:sz w:val="17"/>
                <w:szCs w:val="17"/>
              </w:rPr>
            </w:pPr>
            <w:r w:rsidRPr="00250808">
              <w:rPr>
                <w:rFonts w:ascii="Arial" w:hAnsi="Arial" w:cs="Arial"/>
                <w:bCs/>
                <w:sz w:val="17"/>
                <w:szCs w:val="17"/>
              </w:rPr>
              <w:t xml:space="preserve">Proporción de Ingresos (de origen) Propio respecto a Ingresos Totales provinciales en el año t-5. </w:t>
            </w:r>
            <w:r w:rsidRPr="00250808">
              <w:rPr>
                <w:rFonts w:ascii="Arial" w:hAnsi="Arial" w:cs="Arial"/>
                <w:sz w:val="17"/>
                <w:szCs w:val="17"/>
              </w:rPr>
              <w:t>Fuente: Elaboración propia en base a Direcciones de Estadística Provinciales, CFI, ASAP y Dirección Nacional de Coordinación Fiscal con las Provincias.</w:t>
            </w:r>
          </w:p>
        </w:tc>
      </w:tr>
      <w:tr w:rsidR="00E656CC" w:rsidRPr="00CF7780" w:rsidTr="00250808">
        <w:tc>
          <w:tcPr>
            <w:tcW w:w="1682" w:type="dxa"/>
            <w:tcBorders>
              <w:bottom w:val="single" w:sz="8" w:space="0" w:color="4BACC6"/>
            </w:tcBorders>
          </w:tcPr>
          <w:p w:rsidR="00E656CC" w:rsidRPr="00250808" w:rsidRDefault="00E656CC" w:rsidP="00250808">
            <w:pPr>
              <w:jc w:val="both"/>
              <w:rPr>
                <w:rFonts w:ascii="Arial" w:hAnsi="Arial"/>
                <w:b/>
                <w:bCs/>
                <w:color w:val="31849B"/>
                <w:sz w:val="17"/>
                <w:szCs w:val="17"/>
              </w:rPr>
            </w:pPr>
            <w:r w:rsidRPr="00250808">
              <w:rPr>
                <w:rFonts w:ascii="Arial" w:hAnsi="Arial"/>
                <w:b/>
                <w:bCs/>
                <w:sz w:val="17"/>
                <w:szCs w:val="17"/>
              </w:rPr>
              <w:t>l5.Gpers_Gprim</w:t>
            </w:r>
            <w:r w:rsidRPr="00250808">
              <w:rPr>
                <w:rFonts w:ascii="Arial" w:hAnsi="Arial" w:cs="Arial"/>
                <w:bCs/>
                <w:sz w:val="17"/>
                <w:szCs w:val="17"/>
                <w:lang w:eastAsia="es-AR"/>
              </w:rPr>
              <w:t xml:space="preserve">   </w:t>
            </w:r>
            <w:r w:rsidRPr="00250808">
              <w:rPr>
                <w:rFonts w:ascii="Arial" w:hAnsi="Arial" w:cs="Arial"/>
                <w:sz w:val="17"/>
                <w:szCs w:val="17"/>
                <w:lang w:val="es-AR"/>
              </w:rPr>
              <w:t xml:space="preserve">  </w:t>
            </w:r>
            <w:r w:rsidRPr="00250808">
              <w:rPr>
                <w:rFonts w:ascii="Arial" w:hAnsi="Arial" w:cs="Arial"/>
                <w:b/>
                <w:bCs/>
                <w:sz w:val="17"/>
                <w:szCs w:val="17"/>
                <w:lang w:val="es-AR"/>
              </w:rPr>
              <w:t xml:space="preserve"> </w:t>
            </w:r>
          </w:p>
        </w:tc>
        <w:tc>
          <w:tcPr>
            <w:tcW w:w="6781" w:type="dxa"/>
            <w:tcBorders>
              <w:left w:val="nil"/>
              <w:bottom w:val="single" w:sz="8" w:space="0" w:color="4BACC6"/>
              <w:right w:val="nil"/>
            </w:tcBorders>
          </w:tcPr>
          <w:p w:rsidR="00E656CC" w:rsidRPr="00250808" w:rsidRDefault="00E656CC" w:rsidP="00250808">
            <w:pPr>
              <w:jc w:val="both"/>
              <w:rPr>
                <w:rFonts w:ascii="Arial" w:hAnsi="Arial" w:cs="Arial"/>
                <w:color w:val="31849B"/>
                <w:sz w:val="17"/>
                <w:szCs w:val="17"/>
              </w:rPr>
            </w:pPr>
            <w:r w:rsidRPr="00250808">
              <w:rPr>
                <w:rFonts w:ascii="Arial" w:hAnsi="Arial" w:cs="Arial"/>
                <w:sz w:val="17"/>
                <w:szCs w:val="17"/>
              </w:rPr>
              <w:t>Proporción de Gasto en personal respecto del Gasto Primario Total (presupuestado) en el año t-5. Fuente: Elaboración propia en base a Direcciones de Estadística Provinciales, CFI, ASAP y Dirección Nacional de Coordinación Fiscal con las Provincias.</w:t>
            </w:r>
          </w:p>
        </w:tc>
      </w:tr>
    </w:tbl>
    <w:p w:rsidR="00E656CC" w:rsidRPr="00CF7780" w:rsidRDefault="00E656CC" w:rsidP="00227141">
      <w:pPr>
        <w:rPr>
          <w:rFonts w:ascii="Arial" w:hAnsi="Arial" w:cs="Arial"/>
          <w:sz w:val="17"/>
          <w:szCs w:val="17"/>
        </w:rPr>
      </w:pPr>
      <w:r w:rsidRPr="00CF7780">
        <w:rPr>
          <w:rFonts w:ascii="Arial" w:hAnsi="Arial" w:cs="Arial"/>
          <w:sz w:val="17"/>
          <w:szCs w:val="17"/>
        </w:rPr>
        <w:t xml:space="preserve">    El prefijo l5 significa que las variables se toman rezagadas 5 años. </w:t>
      </w:r>
    </w:p>
    <w:p w:rsidR="00E656CC" w:rsidRPr="00CF7780" w:rsidRDefault="00E656CC" w:rsidP="002E7300">
      <w:pPr>
        <w:spacing w:before="100" w:beforeAutospacing="1" w:after="100" w:afterAutospacing="1"/>
        <w:ind w:firstLine="708"/>
        <w:jc w:val="both"/>
        <w:rPr>
          <w:rFonts w:ascii="Arial" w:hAnsi="Arial" w:cs="Arial"/>
          <w:sz w:val="22"/>
          <w:szCs w:val="22"/>
        </w:rPr>
      </w:pPr>
      <w:r w:rsidRPr="00CF7780">
        <w:rPr>
          <w:rFonts w:ascii="Arial" w:hAnsi="Arial"/>
          <w:b/>
          <w:sz w:val="22"/>
        </w:rPr>
        <w:t>Para medir la dimensión educación del capital humano,</w:t>
      </w:r>
      <w:r w:rsidRPr="00CF7780">
        <w:rPr>
          <w:rFonts w:ascii="Arial" w:hAnsi="Arial" w:cs="Arial"/>
          <w:sz w:val="22"/>
          <w:szCs w:val="22"/>
        </w:rPr>
        <w:t xml:space="preserve"> se utilizaron especificaciones alternativas, considerándola </w:t>
      </w:r>
      <w:r w:rsidRPr="00CF7780">
        <w:rPr>
          <w:rFonts w:ascii="Arial" w:hAnsi="Arial"/>
          <w:b/>
          <w:sz w:val="22"/>
        </w:rPr>
        <w:t>como stock</w:t>
      </w:r>
      <w:r w:rsidRPr="00CF7780">
        <w:rPr>
          <w:rFonts w:ascii="Arial" w:hAnsi="Arial" w:cs="Arial"/>
          <w:sz w:val="22"/>
          <w:szCs w:val="22"/>
        </w:rPr>
        <w:t xml:space="preserve"> (promedio de años de escolaridad de la fuerza laboral según el nivel educativo máximo alcanzado sea: primario, secundario o superior- </w:t>
      </w:r>
      <w:r w:rsidRPr="00CF7780">
        <w:rPr>
          <w:rFonts w:ascii="Arial" w:hAnsi="Arial" w:cs="Arial"/>
          <w:sz w:val="22"/>
          <w:szCs w:val="22"/>
          <w:lang w:val="es-AR"/>
        </w:rPr>
        <w:t>l5.edu_prim, l5.edu_sec, l5.edu_sup-, respectivamente</w:t>
      </w:r>
      <w:r w:rsidRPr="00CF7780">
        <w:rPr>
          <w:rFonts w:ascii="Arial" w:hAnsi="Arial" w:cs="Arial"/>
          <w:sz w:val="22"/>
          <w:szCs w:val="22"/>
        </w:rPr>
        <w:t xml:space="preserve">), </w:t>
      </w:r>
      <w:r w:rsidRPr="00CF7780">
        <w:rPr>
          <w:rFonts w:ascii="Arial" w:hAnsi="Arial"/>
          <w:b/>
          <w:sz w:val="22"/>
        </w:rPr>
        <w:t>o como flujo</w:t>
      </w:r>
      <w:r w:rsidRPr="00CF7780">
        <w:rPr>
          <w:rFonts w:ascii="Arial" w:hAnsi="Arial" w:cs="Arial"/>
          <w:sz w:val="22"/>
          <w:szCs w:val="22"/>
        </w:rPr>
        <w:t xml:space="preserve"> (empleando la tasa de matriculación en los distintos niveles educativos, es decir, primario, secundario, superior no universitario y superior universitario- l5.tmatric_prim, </w:t>
      </w:r>
      <w:r w:rsidRPr="00CF7780">
        <w:rPr>
          <w:rFonts w:ascii="Arial" w:hAnsi="Arial" w:cs="Arial"/>
          <w:sz w:val="22"/>
          <w:szCs w:val="22"/>
          <w:lang w:val="es-AR"/>
        </w:rPr>
        <w:t xml:space="preserve">l5.tmatric_sec, l5.t_matric_snu, </w:t>
      </w:r>
      <w:r w:rsidRPr="00CF7780">
        <w:rPr>
          <w:rFonts w:ascii="Arial" w:hAnsi="Arial" w:cs="Arial"/>
          <w:sz w:val="22"/>
          <w:szCs w:val="22"/>
        </w:rPr>
        <w:t xml:space="preserve">l5.t_matric_u-, </w:t>
      </w:r>
      <w:r w:rsidRPr="00CF7780">
        <w:rPr>
          <w:rFonts w:ascii="Arial" w:hAnsi="Arial" w:cs="Arial"/>
          <w:sz w:val="22"/>
          <w:szCs w:val="22"/>
          <w:lang w:val="es-AR"/>
        </w:rPr>
        <w:t>respectivamente</w:t>
      </w:r>
      <w:r w:rsidRPr="00CF7780">
        <w:rPr>
          <w:rFonts w:ascii="Arial" w:hAnsi="Arial" w:cs="Arial"/>
          <w:sz w:val="22"/>
          <w:szCs w:val="22"/>
        </w:rPr>
        <w:t xml:space="preserve">). Cabe resaltar que sería asimismo relevante contar con mediciones sobre habilidades cognitivas a lo largo del tiempo -tales como puntajes de pruebas- como variable proxy de la calidad del capital humano, pero no contamos con fuentes de datos de tales variables para las provincias en el periodo considerado. </w:t>
      </w:r>
    </w:p>
    <w:p w:rsidR="00E656CC" w:rsidRPr="00CF7780" w:rsidRDefault="00E656CC" w:rsidP="002E7300">
      <w:pPr>
        <w:spacing w:before="100" w:beforeAutospacing="1" w:after="100" w:afterAutospacing="1"/>
        <w:ind w:firstLine="708"/>
        <w:jc w:val="both"/>
        <w:rPr>
          <w:rFonts w:ascii="Arial" w:hAnsi="Arial" w:cs="Arial"/>
          <w:sz w:val="22"/>
          <w:szCs w:val="22"/>
        </w:rPr>
      </w:pPr>
      <w:r w:rsidRPr="00CF7780">
        <w:rPr>
          <w:rFonts w:ascii="Arial" w:hAnsi="Arial" w:cs="Arial"/>
          <w:sz w:val="22"/>
          <w:szCs w:val="22"/>
        </w:rPr>
        <w:t xml:space="preserve">Por otra parte, para medir la dimensión salud del capital humano se utilizó la tasa de mortalidad infantil (l5.mort). Otra variable de control es la tasa de fertilidad (l5.fert) que se espera tenga un efecto negativo sobre el producto per capita de estado estacionario. La visión usual es que mayor fertilidad disminuiría a su vez la tasa de crecimiento del PBGpc para un nivel dado de las variables explicativas. Algunos modelos teóricos incluyen costos de tiempo de tener y criar hijos lo que refuerza la visión de que una mayor tasa de fertilidad afecta negativamente el crecimiento del producto per capita. </w:t>
      </w:r>
    </w:p>
    <w:p w:rsidR="00E656CC" w:rsidRPr="00CF7780" w:rsidRDefault="00E656CC" w:rsidP="002E7300">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 Para medir capital físico, se emplea la participación de la Gran División 5 -Construcción- en el PBG (l5.gd5_pbg) como aproximación de la tasa de inversión (pública y privada), aunque constituye una aplicación no reproductiva, y ello se justifica en que la construcción es el ítem más importante de la inversión bruta interna fija.</w:t>
      </w:r>
    </w:p>
    <w:p w:rsidR="00E656CC" w:rsidRPr="00CF7780" w:rsidRDefault="00E656CC" w:rsidP="002E7300">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Otros factores que permitirían explicar las diferencias en la performance de largo plazo en las distintas economías regionales serían: la proporción de recursos tributarios propios con respecto a los ingresos totales de la provincia (l5.ITPropios_ITTotales) -para intentar identificar las provincias menos dependientes del Gobierno nacional y con capacidad propia para llevar adelante políticas activas discrecionales-, y la proporción del gasto en personal en el gasto primario de la provincia (l5.Gpers_Gprim), como un indicador de la importancia del empleo estatal en el mercado laboral. Finalmente, se incluyó un indicador de performance fiscal - déficit fiscal en relación al gasto total (l5.dFiscal_GT)- en el que se intenta captar el carácter de la política fiscal que está realizando el gobierno (expansiva o contractiva). </w:t>
      </w:r>
    </w:p>
    <w:p w:rsidR="00E656CC" w:rsidRPr="00CF7780" w:rsidRDefault="00E656CC" w:rsidP="002E7300">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A continuación en la Tabla 1 se presentan las estadísticas resumen de las variables descriptas. Cabe aclarar que las cifras se encuentran en distintas unidades de medida, y se presentan solamente a los efectos ilustrativos.</w:t>
      </w:r>
    </w:p>
    <w:p w:rsidR="00E656CC" w:rsidRPr="00CF7780" w:rsidRDefault="00E656CC" w:rsidP="008A5C6A">
      <w:pPr>
        <w:spacing w:before="100" w:beforeAutospacing="1" w:after="100" w:afterAutospacing="1"/>
        <w:ind w:firstLine="709"/>
        <w:jc w:val="center"/>
        <w:rPr>
          <w:rFonts w:ascii="Arial" w:hAnsi="Arial" w:cs="Arial"/>
          <w:b/>
          <w:sz w:val="22"/>
          <w:szCs w:val="22"/>
        </w:rPr>
      </w:pPr>
      <w:r w:rsidRPr="00CF7780">
        <w:rPr>
          <w:rFonts w:ascii="Arial" w:hAnsi="Arial" w:cs="Arial"/>
          <w:b/>
          <w:sz w:val="22"/>
          <w:szCs w:val="22"/>
        </w:rPr>
        <w:t>Tabla 1: Estadísticas resumen</w:t>
      </w:r>
    </w:p>
    <w:tbl>
      <w:tblPr>
        <w:tblW w:w="6756" w:type="dxa"/>
        <w:jc w:val="center"/>
        <w:tblBorders>
          <w:top w:val="single" w:sz="8" w:space="0" w:color="4BACC6"/>
          <w:bottom w:val="single" w:sz="8" w:space="0" w:color="4BACC6"/>
        </w:tblBorders>
        <w:tblLayout w:type="fixed"/>
        <w:tblLook w:val="00A0"/>
      </w:tblPr>
      <w:tblGrid>
        <w:gridCol w:w="2354"/>
        <w:gridCol w:w="1045"/>
        <w:gridCol w:w="1119"/>
        <w:gridCol w:w="1119"/>
        <w:gridCol w:w="1119"/>
      </w:tblGrid>
      <w:tr w:rsidR="00E656CC" w:rsidRPr="00CF7780" w:rsidTr="00250808">
        <w:trPr>
          <w:trHeight w:val="20"/>
          <w:tblHeader/>
          <w:jc w:val="center"/>
        </w:trPr>
        <w:tc>
          <w:tcPr>
            <w:tcW w:w="2354" w:type="dxa"/>
            <w:tcBorders>
              <w:top w:val="single" w:sz="8" w:space="0" w:color="4BACC6"/>
              <w:left w:val="nil"/>
              <w:bottom w:val="single" w:sz="8" w:space="0" w:color="4BACC6"/>
              <w:right w:val="nil"/>
            </w:tcBorders>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Variable</w:t>
            </w:r>
          </w:p>
        </w:tc>
        <w:tc>
          <w:tcPr>
            <w:tcW w:w="1045" w:type="dxa"/>
            <w:tcBorders>
              <w:top w:val="single" w:sz="8" w:space="0" w:color="4BACC6"/>
              <w:left w:val="nil"/>
              <w:bottom w:val="single" w:sz="8" w:space="0" w:color="4BACC6"/>
              <w:right w:val="nil"/>
            </w:tcBorders>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Media</w:t>
            </w:r>
          </w:p>
        </w:tc>
        <w:tc>
          <w:tcPr>
            <w:tcW w:w="1119" w:type="dxa"/>
            <w:tcBorders>
              <w:top w:val="single" w:sz="8" w:space="0" w:color="4BACC6"/>
              <w:left w:val="nil"/>
              <w:bottom w:val="single" w:sz="8" w:space="0" w:color="4BACC6"/>
              <w:right w:val="nil"/>
            </w:tcBorders>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Desv. Est.</w:t>
            </w:r>
          </w:p>
        </w:tc>
        <w:tc>
          <w:tcPr>
            <w:tcW w:w="1119" w:type="dxa"/>
            <w:tcBorders>
              <w:top w:val="single" w:sz="8" w:space="0" w:color="4BACC6"/>
              <w:left w:val="nil"/>
              <w:bottom w:val="single" w:sz="8" w:space="0" w:color="4BACC6"/>
              <w:right w:val="nil"/>
            </w:tcBorders>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Min</w:t>
            </w:r>
          </w:p>
        </w:tc>
        <w:tc>
          <w:tcPr>
            <w:tcW w:w="1119" w:type="dxa"/>
            <w:tcBorders>
              <w:top w:val="single" w:sz="8" w:space="0" w:color="4BACC6"/>
              <w:left w:val="nil"/>
              <w:bottom w:val="single" w:sz="8" w:space="0" w:color="4BACC6"/>
              <w:right w:val="nil"/>
            </w:tcBorders>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Max</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tasay5a</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0.0206</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0.0341</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-0.108</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0.180</w:t>
            </w:r>
          </w:p>
        </w:tc>
      </w:tr>
      <w:tr w:rsidR="00E656CC" w:rsidRPr="00CF7780" w:rsidTr="00250808">
        <w:trPr>
          <w:trHeight w:val="20"/>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l5.logpbgpc</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8.734</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0.550</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7.767</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10.278</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l5.mort</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21.293</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8.204</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9.7</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51.9</w:t>
            </w:r>
          </w:p>
        </w:tc>
      </w:tr>
      <w:tr w:rsidR="00E656CC" w:rsidRPr="00CF7780" w:rsidTr="00250808">
        <w:trPr>
          <w:trHeight w:val="315"/>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l5.fert</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23.258</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3.647</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13.1</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34.6</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tmatric_prim</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1.144</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0.085</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1.026</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1.440</w:t>
            </w:r>
          </w:p>
        </w:tc>
      </w:tr>
      <w:tr w:rsidR="00E656CC" w:rsidRPr="00CF7780" w:rsidTr="00250808">
        <w:trPr>
          <w:trHeight w:val="20"/>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tmatric_sec</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0.799</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0.124</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0.453</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1.218</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t_matric_snu</w:t>
            </w:r>
            <w:r w:rsidRPr="00250808">
              <w:rPr>
                <w:rFonts w:ascii="Arial" w:hAnsi="Arial" w:cs="Arial"/>
                <w:sz w:val="18"/>
                <w:szCs w:val="18"/>
              </w:rPr>
              <w:t xml:space="preserve"> </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0.117</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0.103</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0.020</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0.745</w:t>
            </w:r>
          </w:p>
        </w:tc>
      </w:tr>
      <w:tr w:rsidR="00E656CC" w:rsidRPr="00CF7780" w:rsidTr="00250808">
        <w:trPr>
          <w:trHeight w:val="20"/>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t_matric_u</w:t>
            </w:r>
            <w:r w:rsidRPr="00250808">
              <w:rPr>
                <w:rFonts w:ascii="Arial" w:hAnsi="Arial" w:cs="Arial"/>
                <w:sz w:val="18"/>
                <w:szCs w:val="18"/>
              </w:rPr>
              <w:t xml:space="preserve"> </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0.233</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0.182</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0.022</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1.235</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edu_prim</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6.772</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0.075</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6.477</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6.951</w:t>
            </w:r>
          </w:p>
        </w:tc>
      </w:tr>
      <w:tr w:rsidR="00E656CC" w:rsidRPr="00CF7780" w:rsidTr="00250808">
        <w:trPr>
          <w:trHeight w:val="20"/>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edu_sec</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3.054</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0.305</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2.536</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4.196</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 xml:space="preserve">edu_sup </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0.831</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0.264</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0.497</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1.924</w:t>
            </w:r>
          </w:p>
        </w:tc>
      </w:tr>
      <w:tr w:rsidR="00E656CC" w:rsidRPr="00CF7780" w:rsidTr="00250808">
        <w:trPr>
          <w:trHeight w:val="20"/>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l5.inv_pbg</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22.407</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19.188</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1.060</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167.443</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l5.gd5_pbg</w:t>
            </w:r>
            <w:r w:rsidRPr="00250808">
              <w:rPr>
                <w:rFonts w:ascii="Arial" w:hAnsi="Arial" w:cs="Arial"/>
                <w:sz w:val="18"/>
                <w:szCs w:val="18"/>
              </w:rPr>
              <w:t xml:space="preserve"> </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0.056</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0.0295</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0.012</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0.211</w:t>
            </w:r>
          </w:p>
        </w:tc>
      </w:tr>
      <w:tr w:rsidR="00E656CC" w:rsidRPr="00CF7780" w:rsidTr="00250808">
        <w:trPr>
          <w:trHeight w:val="20"/>
          <w:jc w:val="center"/>
        </w:trPr>
        <w:tc>
          <w:tcPr>
            <w:tcW w:w="2354" w:type="dxa"/>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l5.dFiscal_GT</w:t>
            </w:r>
          </w:p>
        </w:tc>
        <w:tc>
          <w:tcPr>
            <w:tcW w:w="1045"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-0.007</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0.095</w:t>
            </w:r>
          </w:p>
        </w:tc>
        <w:tc>
          <w:tcPr>
            <w:tcW w:w="1119" w:type="dxa"/>
            <w:tcBorders>
              <w:left w:val="nil"/>
              <w:bottom w:val="nil"/>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-0.278</w:t>
            </w:r>
          </w:p>
        </w:tc>
        <w:tc>
          <w:tcPr>
            <w:tcW w:w="1119" w:type="dxa"/>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0.359</w:t>
            </w:r>
          </w:p>
        </w:tc>
      </w:tr>
      <w:tr w:rsidR="00E656CC" w:rsidRPr="00CF7780" w:rsidTr="00250808">
        <w:trPr>
          <w:trHeight w:val="20"/>
          <w:jc w:val="center"/>
        </w:trPr>
        <w:tc>
          <w:tcPr>
            <w:tcW w:w="2354" w:type="dxa"/>
            <w:tcBorders>
              <w:left w:val="nil"/>
              <w:right w:val="nil"/>
            </w:tcBorders>
            <w:shd w:val="clear" w:color="auto" w:fill="D2EAF1"/>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l5.ITPropios_ITTotales</w:t>
            </w:r>
          </w:p>
        </w:tc>
        <w:tc>
          <w:tcPr>
            <w:tcW w:w="1045"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0.259</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0.182</w:t>
            </w:r>
          </w:p>
        </w:tc>
        <w:tc>
          <w:tcPr>
            <w:tcW w:w="1119" w:type="dxa"/>
            <w:tcBorders>
              <w:left w:val="nil"/>
              <w:bottom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0.037</w:t>
            </w:r>
          </w:p>
        </w:tc>
        <w:tc>
          <w:tcPr>
            <w:tcW w:w="1119" w:type="dxa"/>
            <w:tcBorders>
              <w:left w:val="nil"/>
              <w:right w:val="nil"/>
            </w:tcBorders>
            <w:shd w:val="clear" w:color="auto" w:fill="D2EAF1"/>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0.945</w:t>
            </w:r>
          </w:p>
        </w:tc>
      </w:tr>
      <w:tr w:rsidR="00E656CC" w:rsidRPr="00CF7780" w:rsidTr="00250808">
        <w:trPr>
          <w:trHeight w:val="20"/>
          <w:jc w:val="center"/>
        </w:trPr>
        <w:tc>
          <w:tcPr>
            <w:tcW w:w="2354" w:type="dxa"/>
            <w:tcBorders>
              <w:bottom w:val="single" w:sz="8" w:space="0" w:color="4BACC6"/>
            </w:tcBorders>
          </w:tcPr>
          <w:p w:rsidR="00E656CC" w:rsidRPr="00250808" w:rsidRDefault="00E656CC" w:rsidP="00250808">
            <w:pPr>
              <w:spacing w:before="20" w:after="20"/>
              <w:jc w:val="center"/>
              <w:rPr>
                <w:rFonts w:ascii="Arial" w:hAnsi="Arial" w:cs="Arial"/>
                <w:b/>
                <w:bCs/>
                <w:sz w:val="18"/>
                <w:szCs w:val="18"/>
              </w:rPr>
            </w:pPr>
            <w:r w:rsidRPr="00250808">
              <w:rPr>
                <w:rFonts w:ascii="Arial" w:hAnsi="Arial" w:cs="Arial"/>
                <w:b/>
                <w:bCs/>
                <w:sz w:val="18"/>
                <w:szCs w:val="18"/>
              </w:rPr>
              <w:t>l5.Gpers_Gprim</w:t>
            </w:r>
          </w:p>
        </w:tc>
        <w:tc>
          <w:tcPr>
            <w:tcW w:w="1045" w:type="dxa"/>
            <w:tcBorders>
              <w:left w:val="nil"/>
              <w:bottom w:val="single" w:sz="8" w:space="0" w:color="4BACC6"/>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0.494</w:t>
            </w:r>
          </w:p>
        </w:tc>
        <w:tc>
          <w:tcPr>
            <w:tcW w:w="1119" w:type="dxa"/>
            <w:tcBorders>
              <w:bottom w:val="single" w:sz="8" w:space="0" w:color="4BACC6"/>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0.077</w:t>
            </w:r>
          </w:p>
        </w:tc>
        <w:tc>
          <w:tcPr>
            <w:tcW w:w="1119" w:type="dxa"/>
            <w:tcBorders>
              <w:left w:val="nil"/>
              <w:bottom w:val="single" w:sz="8" w:space="0" w:color="4BACC6"/>
              <w:right w:val="nil"/>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0.239</w:t>
            </w:r>
          </w:p>
        </w:tc>
        <w:tc>
          <w:tcPr>
            <w:tcW w:w="1119" w:type="dxa"/>
            <w:tcBorders>
              <w:bottom w:val="single" w:sz="8" w:space="0" w:color="4BACC6"/>
            </w:tcBorders>
          </w:tcPr>
          <w:p w:rsidR="00E656CC" w:rsidRPr="00250808" w:rsidRDefault="00E656CC" w:rsidP="00250808">
            <w:pPr>
              <w:spacing w:before="20" w:after="20"/>
              <w:jc w:val="center"/>
              <w:rPr>
                <w:rFonts w:ascii="Arial" w:hAnsi="Arial" w:cs="Arial"/>
                <w:sz w:val="18"/>
                <w:szCs w:val="18"/>
              </w:rPr>
            </w:pPr>
            <w:r w:rsidRPr="00250808">
              <w:rPr>
                <w:rFonts w:ascii="Arial" w:hAnsi="Arial" w:cs="Arial"/>
                <w:sz w:val="18"/>
                <w:szCs w:val="18"/>
              </w:rPr>
              <w:t>0.706</w:t>
            </w:r>
          </w:p>
        </w:tc>
      </w:tr>
    </w:tbl>
    <w:p w:rsidR="00E656CC" w:rsidRPr="00CF7780" w:rsidRDefault="00E656CC" w:rsidP="002E7300">
      <w:pPr>
        <w:pStyle w:val="Heading2"/>
        <w:keepLines/>
        <w:numPr>
          <w:ilvl w:val="0"/>
          <w:numId w:val="0"/>
        </w:numPr>
        <w:spacing w:before="100" w:beforeAutospacing="1" w:after="100" w:afterAutospacing="1" w:line="276" w:lineRule="auto"/>
        <w:rPr>
          <w:rFonts w:cs="Arial"/>
        </w:rPr>
      </w:pPr>
      <w:r w:rsidRPr="00CF7780">
        <w:rPr>
          <w:rFonts w:cs="Arial"/>
        </w:rPr>
        <w:t>VI. Análisis empírico</w:t>
      </w:r>
    </w:p>
    <w:p w:rsidR="00E656CC" w:rsidRPr="00CF7780" w:rsidRDefault="00E656CC" w:rsidP="007A6ABC">
      <w:pPr>
        <w:spacing w:before="100" w:beforeAutospacing="1" w:after="100" w:afterAutospacing="1"/>
        <w:ind w:firstLine="708"/>
        <w:jc w:val="both"/>
        <w:rPr>
          <w:rFonts w:ascii="Arial" w:hAnsi="Arial" w:cs="Arial"/>
          <w:sz w:val="22"/>
          <w:szCs w:val="22"/>
        </w:rPr>
      </w:pPr>
      <w:r w:rsidRPr="00CF7780">
        <w:rPr>
          <w:rFonts w:ascii="Arial" w:hAnsi="Arial" w:cs="Arial"/>
          <w:sz w:val="22"/>
          <w:szCs w:val="22"/>
        </w:rPr>
        <w:t>En esta sección se presentan los determinantes empíricos del crecimiento, que surgen de los resultados de las estimaciones de la tasa de crecimiento del PBG per capita, según la Ecuación 2.</w:t>
      </w:r>
    </w:p>
    <w:p w:rsidR="00E656CC" w:rsidRDefault="00E656CC" w:rsidP="006F1359">
      <w:pPr>
        <w:pStyle w:val="Subtitle"/>
        <w:spacing w:before="480" w:after="100" w:afterAutospacing="1"/>
        <w:rPr>
          <w:rFonts w:ascii="Arial" w:hAnsi="Arial" w:cs="Arial"/>
          <w:iCs w:val="0"/>
          <w:color w:val="auto"/>
          <w:spacing w:val="0"/>
          <w:sz w:val="22"/>
          <w:szCs w:val="22"/>
        </w:rPr>
      </w:pPr>
      <w:r>
        <w:rPr>
          <w:rFonts w:ascii="Arial" w:hAnsi="Arial" w:cs="Arial"/>
          <w:iCs w:val="0"/>
          <w:color w:val="auto"/>
          <w:spacing w:val="0"/>
          <w:sz w:val="22"/>
          <w:szCs w:val="22"/>
        </w:rPr>
        <w:t>Análisis Preliminar</w:t>
      </w:r>
    </w:p>
    <w:p w:rsidR="00E656CC" w:rsidRDefault="00E656CC" w:rsidP="000B5458">
      <w:pPr>
        <w:ind w:firstLine="708"/>
        <w:jc w:val="both"/>
        <w:rPr>
          <w:rFonts w:ascii="Arial" w:hAnsi="Arial" w:cs="Arial"/>
          <w:sz w:val="22"/>
          <w:szCs w:val="22"/>
        </w:rPr>
      </w:pPr>
      <w:r>
        <w:rPr>
          <w:rFonts w:ascii="Arial" w:hAnsi="Arial" w:cs="Arial"/>
          <w:sz w:val="22"/>
          <w:szCs w:val="22"/>
        </w:rPr>
        <w:t xml:space="preserve">Dado que el objetivo </w:t>
      </w:r>
      <w:r w:rsidRPr="00757D92">
        <w:rPr>
          <w:rFonts w:ascii="Arial" w:hAnsi="Arial" w:cs="Arial"/>
          <w:sz w:val="22"/>
          <w:szCs w:val="22"/>
        </w:rPr>
        <w:t xml:space="preserve">es </w:t>
      </w:r>
      <w:r>
        <w:rPr>
          <w:rFonts w:ascii="Arial" w:hAnsi="Arial" w:cs="Arial"/>
          <w:sz w:val="22"/>
          <w:szCs w:val="22"/>
        </w:rPr>
        <w:t xml:space="preserve">analizar empíricamente </w:t>
      </w:r>
      <w:r w:rsidRPr="00757D92">
        <w:rPr>
          <w:rFonts w:ascii="Arial" w:hAnsi="Arial" w:cs="Arial"/>
          <w:sz w:val="22"/>
          <w:szCs w:val="22"/>
        </w:rPr>
        <w:t>la relación del capital humano como determinante de la tasa de crecimiento</w:t>
      </w:r>
      <w:r>
        <w:rPr>
          <w:rFonts w:ascii="Arial" w:hAnsi="Arial" w:cs="Arial"/>
          <w:sz w:val="22"/>
          <w:szCs w:val="22"/>
        </w:rPr>
        <w:t>, a continuación se presenta una descripción gráfica de los resultados de las regresiones entre la tasa de crecimiento del PBG (</w:t>
      </w:r>
      <w:r w:rsidRPr="000B5458">
        <w:rPr>
          <w:rFonts w:ascii="Arial" w:hAnsi="Arial" w:cs="Arial"/>
          <w:sz w:val="22"/>
          <w:szCs w:val="22"/>
        </w:rPr>
        <w:t>tasay5a</w:t>
      </w:r>
      <w:r>
        <w:rPr>
          <w:rFonts w:ascii="Arial" w:hAnsi="Arial" w:cs="Arial"/>
          <w:sz w:val="22"/>
          <w:szCs w:val="22"/>
        </w:rPr>
        <w:t>) y las principales variables que relacionadas con el capital humano (Gráfico 1).</w:t>
      </w:r>
    </w:p>
    <w:p w:rsidR="00E656CC" w:rsidRDefault="00E656CC" w:rsidP="000B5458">
      <w:pPr>
        <w:ind w:firstLine="708"/>
        <w:jc w:val="both"/>
        <w:rPr>
          <w:rFonts w:ascii="Arial" w:hAnsi="Arial" w:cs="Arial"/>
          <w:sz w:val="22"/>
          <w:szCs w:val="22"/>
        </w:rPr>
      </w:pPr>
    </w:p>
    <w:p w:rsidR="00E656CC" w:rsidRDefault="00E656CC" w:rsidP="006F1359">
      <w:pPr>
        <w:ind w:firstLine="708"/>
        <w:jc w:val="both"/>
        <w:rPr>
          <w:rFonts w:ascii="Arial" w:hAnsi="Arial" w:cs="Arial"/>
          <w:sz w:val="22"/>
          <w:szCs w:val="22"/>
        </w:rPr>
      </w:pPr>
      <w:r>
        <w:rPr>
          <w:rFonts w:ascii="Arial" w:hAnsi="Arial" w:cs="Arial"/>
          <w:sz w:val="22"/>
          <w:szCs w:val="22"/>
        </w:rPr>
        <w:t xml:space="preserve">En el eje vertical, (sub-gráficos a, b, c y d) se muestra la tasa de crecimiento del PBG </w:t>
      </w:r>
      <w:r w:rsidRPr="000B5458">
        <w:rPr>
          <w:rFonts w:ascii="Arial" w:hAnsi="Arial" w:cs="Arial"/>
          <w:sz w:val="22"/>
          <w:szCs w:val="22"/>
        </w:rPr>
        <w:t>(tasay5a)</w:t>
      </w:r>
      <w:r>
        <w:rPr>
          <w:rFonts w:ascii="Arial" w:hAnsi="Arial" w:cs="Arial"/>
          <w:sz w:val="22"/>
          <w:szCs w:val="22"/>
        </w:rPr>
        <w:t xml:space="preserve"> de las provincias en el período 1996 – 2014. En el eje horizontal los valores de las tasas de matriculación por nivel educativo (primario, secundario, superior no universitario y universitario) en el momento t-5. En todos los casos los gráficos sugieren la existencia de una  relación positiva entre crecimiento y estas medidas de capital humano.</w:t>
      </w:r>
    </w:p>
    <w:p w:rsidR="00E656CC" w:rsidRDefault="00E656CC" w:rsidP="000B5458">
      <w:pPr>
        <w:ind w:firstLine="708"/>
        <w:jc w:val="both"/>
        <w:rPr>
          <w:rFonts w:ascii="Arial" w:hAnsi="Arial" w:cs="Arial"/>
          <w:sz w:val="22"/>
          <w:szCs w:val="22"/>
        </w:rPr>
      </w:pPr>
    </w:p>
    <w:p w:rsidR="00E656CC" w:rsidRDefault="00E656CC" w:rsidP="00757D92"/>
    <w:p w:rsidR="00E656CC" w:rsidRDefault="00E656CC" w:rsidP="00895559">
      <w:r>
        <w:t xml:space="preserve"> </w:t>
      </w:r>
    </w:p>
    <w:p w:rsidR="00E656CC" w:rsidRPr="00757D92" w:rsidRDefault="00E656CC" w:rsidP="00895559"/>
    <w:tbl>
      <w:tblPr>
        <w:tblW w:w="0" w:type="auto"/>
        <w:tblInd w:w="10" w:type="dxa"/>
        <w:tblLook w:val="00A0"/>
      </w:tblPr>
      <w:tblGrid>
        <w:gridCol w:w="4638"/>
        <w:gridCol w:w="4638"/>
      </w:tblGrid>
      <w:tr w:rsidR="00E656CC" w:rsidTr="00250808">
        <w:tc>
          <w:tcPr>
            <w:tcW w:w="0" w:type="auto"/>
            <w:gridSpan w:val="2"/>
          </w:tcPr>
          <w:p w:rsidR="00E656CC" w:rsidRPr="00250808" w:rsidRDefault="00E656CC" w:rsidP="00250808">
            <w:pPr>
              <w:spacing w:before="100" w:beforeAutospacing="1" w:after="120"/>
              <w:jc w:val="center"/>
              <w:rPr>
                <w:rFonts w:ascii="Arial" w:hAnsi="Arial" w:cs="Arial"/>
                <w:b/>
                <w:sz w:val="22"/>
                <w:szCs w:val="22"/>
              </w:rPr>
            </w:pPr>
            <w:r w:rsidRPr="00250808">
              <w:rPr>
                <w:rFonts w:ascii="Arial" w:hAnsi="Arial" w:cs="Arial"/>
                <w:b/>
                <w:sz w:val="22"/>
                <w:szCs w:val="22"/>
              </w:rPr>
              <w:t>Gráfico 1: Gráfico de dispersión – Relación entre Tasa de crecimiento del PBG (tasay5a) respecto a matriculación por nivel educativo, mortalidad y fertilidad</w:t>
            </w:r>
          </w:p>
        </w:tc>
      </w:tr>
      <w:tr w:rsidR="00E656CC" w:rsidRPr="000444DD" w:rsidTr="00250808">
        <w:tc>
          <w:tcPr>
            <w:tcW w:w="0" w:type="auto"/>
          </w:tcPr>
          <w:p w:rsidR="00E656CC" w:rsidRPr="00250808" w:rsidRDefault="00E656CC" w:rsidP="00250808">
            <w:pPr>
              <w:pStyle w:val="ListParagraph"/>
              <w:numPr>
                <w:ilvl w:val="0"/>
                <w:numId w:val="37"/>
              </w:numPr>
              <w:spacing w:before="120" w:after="120"/>
              <w:ind w:left="714" w:hanging="357"/>
              <w:contextualSpacing w:val="0"/>
              <w:jc w:val="center"/>
              <w:rPr>
                <w:rFonts w:ascii="Arial" w:hAnsi="Arial" w:cs="Arial"/>
                <w:sz w:val="18"/>
                <w:szCs w:val="18"/>
                <w:lang w:val="en-US"/>
              </w:rPr>
            </w:pPr>
            <w:r w:rsidRPr="00250808">
              <w:rPr>
                <w:rFonts w:ascii="Arial" w:hAnsi="Arial" w:cs="Arial"/>
                <w:sz w:val="18"/>
                <w:szCs w:val="18"/>
              </w:rPr>
              <w:t xml:space="preserve"> </w:t>
            </w:r>
            <w:r w:rsidRPr="00250808">
              <w:rPr>
                <w:rFonts w:ascii="Arial" w:hAnsi="Arial" w:cs="Arial"/>
                <w:sz w:val="18"/>
                <w:szCs w:val="18"/>
                <w:lang w:val="en-US"/>
              </w:rPr>
              <w:t>tasay5a - l5.t_matric_prim</w:t>
            </w:r>
          </w:p>
        </w:tc>
        <w:tc>
          <w:tcPr>
            <w:tcW w:w="0" w:type="auto"/>
          </w:tcPr>
          <w:p w:rsidR="00E656CC" w:rsidRPr="00250808" w:rsidRDefault="00E656CC" w:rsidP="00250808">
            <w:pPr>
              <w:pStyle w:val="ListParagraph"/>
              <w:numPr>
                <w:ilvl w:val="0"/>
                <w:numId w:val="37"/>
              </w:numPr>
              <w:spacing w:before="120" w:after="120"/>
              <w:ind w:left="714" w:hanging="357"/>
              <w:contextualSpacing w:val="0"/>
              <w:jc w:val="center"/>
              <w:rPr>
                <w:rFonts w:ascii="Arial" w:hAnsi="Arial" w:cs="Arial"/>
                <w:sz w:val="18"/>
                <w:szCs w:val="20"/>
                <w:lang w:val="en-US"/>
              </w:rPr>
            </w:pPr>
            <w:r w:rsidRPr="00250808">
              <w:rPr>
                <w:rFonts w:ascii="Arial" w:hAnsi="Arial" w:cs="Arial"/>
                <w:sz w:val="18"/>
                <w:szCs w:val="20"/>
                <w:lang w:val="en-US"/>
              </w:rPr>
              <w:t>tasay5a - l5.t_matric_sec</w:t>
            </w:r>
          </w:p>
        </w:tc>
      </w:tr>
      <w:tr w:rsidR="00E656CC" w:rsidTr="00250808">
        <w:tc>
          <w:tcPr>
            <w:tcW w:w="0" w:type="auto"/>
          </w:tcPr>
          <w:p w:rsidR="00E656CC" w:rsidRPr="00250808" w:rsidRDefault="00E656CC" w:rsidP="00250808">
            <w:pPr>
              <w:spacing w:before="100" w:beforeAutospacing="1" w:after="100" w:afterAutospacing="1"/>
              <w:jc w:val="center"/>
              <w:rPr>
                <w:rFonts w:ascii="Arial" w:hAnsi="Arial" w:cs="Arial"/>
                <w:sz w:val="22"/>
                <w:szCs w:val="22"/>
              </w:rPr>
            </w:pPr>
            <w:r w:rsidRPr="00250808">
              <w:rPr>
                <w:rFonts w:ascii="Arial" w:hAnsi="Arial" w:cs="Arial"/>
                <w:noProof/>
                <w:sz w:val="22"/>
                <w:szCs w:val="22"/>
                <w:lang w:val="es-AR" w:eastAsia="es-AR"/>
              </w:rPr>
              <w:pict>
                <v:shape id="Imagen 4" o:spid="_x0000_i1049" type="#_x0000_t75" style="width:197.25pt;height:144.75pt;visibility:visible">
                  <v:imagedata r:id="rId17" o:title=""/>
                </v:shape>
              </w:pict>
            </w:r>
          </w:p>
        </w:tc>
        <w:tc>
          <w:tcPr>
            <w:tcW w:w="0" w:type="auto"/>
          </w:tcPr>
          <w:p w:rsidR="00E656CC" w:rsidRPr="00250808" w:rsidRDefault="00E656CC" w:rsidP="00250808">
            <w:pPr>
              <w:spacing w:before="100" w:beforeAutospacing="1" w:after="100" w:afterAutospacing="1"/>
              <w:jc w:val="center"/>
              <w:rPr>
                <w:rFonts w:ascii="Arial" w:hAnsi="Arial" w:cs="Arial"/>
                <w:sz w:val="22"/>
                <w:szCs w:val="22"/>
              </w:rPr>
            </w:pPr>
            <w:r w:rsidRPr="00250808">
              <w:rPr>
                <w:rFonts w:ascii="Arial" w:hAnsi="Arial" w:cs="Arial"/>
                <w:noProof/>
                <w:sz w:val="22"/>
                <w:szCs w:val="22"/>
                <w:lang w:val="es-AR" w:eastAsia="es-AR"/>
              </w:rPr>
              <w:pict>
                <v:shape id="Imagen 5" o:spid="_x0000_i1050" type="#_x0000_t75" style="width:197.25pt;height:144.75pt;visibility:visible">
                  <v:imagedata r:id="rId18" o:title=""/>
                </v:shape>
              </w:pict>
            </w:r>
          </w:p>
        </w:tc>
      </w:tr>
      <w:tr w:rsidR="00E656CC" w:rsidTr="00250808">
        <w:trPr>
          <w:trHeight w:val="227"/>
        </w:trPr>
        <w:tc>
          <w:tcPr>
            <w:tcW w:w="0" w:type="auto"/>
          </w:tcPr>
          <w:p w:rsidR="00E656CC" w:rsidRPr="00250808" w:rsidRDefault="00E656CC" w:rsidP="00250808">
            <w:pPr>
              <w:pStyle w:val="ListParagraph"/>
              <w:numPr>
                <w:ilvl w:val="0"/>
                <w:numId w:val="37"/>
              </w:numPr>
              <w:spacing w:before="120" w:after="120"/>
              <w:ind w:left="714" w:hanging="357"/>
              <w:contextualSpacing w:val="0"/>
              <w:jc w:val="center"/>
              <w:rPr>
                <w:rFonts w:ascii="Arial" w:hAnsi="Arial" w:cs="Arial"/>
                <w:sz w:val="18"/>
                <w:szCs w:val="18"/>
                <w:lang w:val="en-US"/>
              </w:rPr>
            </w:pPr>
            <w:r w:rsidRPr="00250808">
              <w:rPr>
                <w:rFonts w:ascii="Arial" w:hAnsi="Arial" w:cs="Arial"/>
                <w:sz w:val="18"/>
                <w:szCs w:val="18"/>
                <w:lang w:val="en-US"/>
              </w:rPr>
              <w:t>tasay5a - l5.t_matric_snu</w:t>
            </w:r>
          </w:p>
        </w:tc>
        <w:tc>
          <w:tcPr>
            <w:tcW w:w="0" w:type="auto"/>
          </w:tcPr>
          <w:p w:rsidR="00E656CC" w:rsidRPr="00250808" w:rsidRDefault="00E656CC" w:rsidP="00250808">
            <w:pPr>
              <w:pStyle w:val="ListParagraph"/>
              <w:numPr>
                <w:ilvl w:val="0"/>
                <w:numId w:val="37"/>
              </w:numPr>
              <w:spacing w:before="120" w:after="120"/>
              <w:ind w:left="714" w:hanging="357"/>
              <w:contextualSpacing w:val="0"/>
              <w:jc w:val="center"/>
              <w:rPr>
                <w:rFonts w:ascii="Arial" w:hAnsi="Arial" w:cs="Arial"/>
                <w:sz w:val="18"/>
                <w:szCs w:val="18"/>
              </w:rPr>
            </w:pPr>
            <w:r w:rsidRPr="00250808">
              <w:rPr>
                <w:rFonts w:ascii="Arial" w:hAnsi="Arial" w:cs="Arial"/>
                <w:sz w:val="18"/>
                <w:szCs w:val="18"/>
              </w:rPr>
              <w:t>tasay5a - l5.t_matric_u</w:t>
            </w:r>
          </w:p>
        </w:tc>
      </w:tr>
      <w:tr w:rsidR="00E656CC" w:rsidTr="00250808">
        <w:tc>
          <w:tcPr>
            <w:tcW w:w="0" w:type="auto"/>
          </w:tcPr>
          <w:p w:rsidR="00E656CC" w:rsidRPr="00250808" w:rsidRDefault="00E656CC" w:rsidP="00250808">
            <w:pPr>
              <w:spacing w:before="100" w:beforeAutospacing="1" w:after="100" w:afterAutospacing="1"/>
              <w:jc w:val="center"/>
              <w:rPr>
                <w:rFonts w:ascii="Arial" w:hAnsi="Arial" w:cs="Arial"/>
                <w:sz w:val="22"/>
                <w:szCs w:val="22"/>
              </w:rPr>
            </w:pPr>
            <w:r w:rsidRPr="00250808">
              <w:rPr>
                <w:rFonts w:ascii="Arial" w:hAnsi="Arial" w:cs="Arial"/>
                <w:noProof/>
                <w:sz w:val="22"/>
                <w:szCs w:val="22"/>
                <w:lang w:val="es-AR" w:eastAsia="es-AR"/>
              </w:rPr>
              <w:pict>
                <v:shape id="Imagen 1" o:spid="_x0000_i1051" type="#_x0000_t75" style="width:197.25pt;height:144.75pt;visibility:visible">
                  <v:imagedata r:id="rId19" o:title=""/>
                </v:shape>
              </w:pict>
            </w:r>
          </w:p>
        </w:tc>
        <w:tc>
          <w:tcPr>
            <w:tcW w:w="0" w:type="auto"/>
          </w:tcPr>
          <w:p w:rsidR="00E656CC" w:rsidRPr="00250808" w:rsidRDefault="00E656CC" w:rsidP="00250808">
            <w:pPr>
              <w:spacing w:before="100" w:beforeAutospacing="1" w:after="100" w:afterAutospacing="1"/>
              <w:jc w:val="center"/>
              <w:rPr>
                <w:rFonts w:ascii="Arial" w:hAnsi="Arial" w:cs="Arial"/>
                <w:sz w:val="22"/>
                <w:szCs w:val="22"/>
              </w:rPr>
            </w:pPr>
            <w:r w:rsidRPr="00250808">
              <w:rPr>
                <w:rFonts w:ascii="Arial" w:hAnsi="Arial" w:cs="Arial"/>
                <w:noProof/>
                <w:sz w:val="22"/>
                <w:szCs w:val="22"/>
                <w:lang w:val="es-AR" w:eastAsia="es-AR"/>
              </w:rPr>
              <w:pict>
                <v:shape id="Imagen 2" o:spid="_x0000_i1052" type="#_x0000_t75" style="width:197.25pt;height:144.75pt;visibility:visible">
                  <v:imagedata r:id="rId20" o:title=""/>
                </v:shape>
              </w:pict>
            </w:r>
          </w:p>
        </w:tc>
      </w:tr>
      <w:tr w:rsidR="00E656CC" w:rsidTr="00250808">
        <w:trPr>
          <w:trHeight w:val="567"/>
        </w:trPr>
        <w:tc>
          <w:tcPr>
            <w:tcW w:w="0" w:type="auto"/>
          </w:tcPr>
          <w:p w:rsidR="00E656CC" w:rsidRPr="00250808" w:rsidRDefault="00E656CC" w:rsidP="00250808">
            <w:pPr>
              <w:pStyle w:val="ListParagraph"/>
              <w:spacing w:before="120" w:after="120"/>
              <w:ind w:left="714"/>
              <w:contextualSpacing w:val="0"/>
              <w:rPr>
                <w:rFonts w:ascii="Arial" w:hAnsi="Arial" w:cs="Arial"/>
                <w:noProof/>
                <w:sz w:val="18"/>
                <w:szCs w:val="18"/>
              </w:rPr>
            </w:pPr>
          </w:p>
        </w:tc>
        <w:tc>
          <w:tcPr>
            <w:tcW w:w="0" w:type="auto"/>
          </w:tcPr>
          <w:p w:rsidR="00E656CC" w:rsidRPr="00250808" w:rsidRDefault="00E656CC" w:rsidP="00250808">
            <w:pPr>
              <w:pStyle w:val="ListParagraph"/>
              <w:spacing w:before="120" w:after="120"/>
              <w:ind w:left="714"/>
              <w:contextualSpacing w:val="0"/>
              <w:rPr>
                <w:rFonts w:ascii="Arial" w:hAnsi="Arial" w:cs="Arial"/>
                <w:noProof/>
                <w:sz w:val="18"/>
                <w:szCs w:val="18"/>
              </w:rPr>
            </w:pPr>
          </w:p>
        </w:tc>
      </w:tr>
      <w:tr w:rsidR="00E656CC" w:rsidTr="00250808">
        <w:trPr>
          <w:trHeight w:val="278"/>
        </w:trPr>
        <w:tc>
          <w:tcPr>
            <w:tcW w:w="0" w:type="auto"/>
            <w:gridSpan w:val="2"/>
          </w:tcPr>
          <w:p w:rsidR="00E656CC" w:rsidRPr="00250808" w:rsidRDefault="00E656CC" w:rsidP="00250808">
            <w:pPr>
              <w:pStyle w:val="ListParagraph"/>
              <w:spacing w:before="120" w:after="120"/>
              <w:ind w:left="714"/>
              <w:contextualSpacing w:val="0"/>
              <w:rPr>
                <w:rFonts w:ascii="Arial" w:hAnsi="Arial" w:cs="Arial"/>
                <w:noProof/>
                <w:sz w:val="18"/>
                <w:szCs w:val="18"/>
              </w:rPr>
            </w:pPr>
          </w:p>
        </w:tc>
      </w:tr>
      <w:tr w:rsidR="00E656CC" w:rsidTr="00250808">
        <w:trPr>
          <w:trHeight w:val="113"/>
        </w:trPr>
        <w:tc>
          <w:tcPr>
            <w:tcW w:w="0" w:type="auto"/>
          </w:tcPr>
          <w:p w:rsidR="00E656CC" w:rsidRPr="00250808" w:rsidRDefault="00E656CC" w:rsidP="00250808">
            <w:pPr>
              <w:pStyle w:val="ListParagraph"/>
              <w:numPr>
                <w:ilvl w:val="0"/>
                <w:numId w:val="37"/>
              </w:numPr>
              <w:spacing w:before="120" w:after="120"/>
              <w:ind w:left="714" w:hanging="357"/>
              <w:contextualSpacing w:val="0"/>
              <w:jc w:val="center"/>
              <w:rPr>
                <w:rFonts w:ascii="Arial" w:hAnsi="Arial" w:cs="Arial"/>
                <w:noProof/>
                <w:sz w:val="18"/>
                <w:szCs w:val="18"/>
              </w:rPr>
            </w:pPr>
            <w:r w:rsidRPr="00250808">
              <w:rPr>
                <w:rFonts w:ascii="Arial" w:hAnsi="Arial" w:cs="Arial"/>
                <w:noProof/>
                <w:sz w:val="18"/>
                <w:szCs w:val="18"/>
              </w:rPr>
              <w:t>tasay5a – l5.fert</w:t>
            </w:r>
          </w:p>
        </w:tc>
        <w:tc>
          <w:tcPr>
            <w:tcW w:w="0" w:type="auto"/>
          </w:tcPr>
          <w:p w:rsidR="00E656CC" w:rsidRPr="00250808" w:rsidRDefault="00E656CC" w:rsidP="00250808">
            <w:pPr>
              <w:pStyle w:val="ListParagraph"/>
              <w:numPr>
                <w:ilvl w:val="0"/>
                <w:numId w:val="37"/>
              </w:numPr>
              <w:spacing w:before="120" w:after="120"/>
              <w:ind w:left="714" w:hanging="357"/>
              <w:contextualSpacing w:val="0"/>
              <w:jc w:val="center"/>
              <w:rPr>
                <w:rFonts w:ascii="Arial" w:hAnsi="Arial" w:cs="Arial"/>
                <w:noProof/>
                <w:sz w:val="18"/>
                <w:szCs w:val="18"/>
              </w:rPr>
            </w:pPr>
            <w:r w:rsidRPr="00250808">
              <w:rPr>
                <w:rFonts w:ascii="Arial" w:hAnsi="Arial" w:cs="Arial"/>
                <w:noProof/>
                <w:sz w:val="18"/>
                <w:szCs w:val="18"/>
              </w:rPr>
              <w:t xml:space="preserve">tasa5y5a – l5.mort </w:t>
            </w:r>
          </w:p>
        </w:tc>
      </w:tr>
      <w:tr w:rsidR="00E656CC" w:rsidTr="00250808">
        <w:tc>
          <w:tcPr>
            <w:tcW w:w="0" w:type="auto"/>
          </w:tcPr>
          <w:p w:rsidR="00E656CC" w:rsidRPr="00250808" w:rsidRDefault="00E656CC" w:rsidP="00250808">
            <w:pPr>
              <w:spacing w:before="100" w:beforeAutospacing="1" w:after="100" w:afterAutospacing="1"/>
              <w:jc w:val="center"/>
              <w:rPr>
                <w:rFonts w:ascii="Arial" w:hAnsi="Arial" w:cs="Arial"/>
                <w:noProof/>
                <w:sz w:val="22"/>
                <w:szCs w:val="22"/>
                <w:lang w:val="es-AR" w:eastAsia="es-AR"/>
              </w:rPr>
            </w:pPr>
            <w:r w:rsidRPr="00250808">
              <w:rPr>
                <w:noProof/>
                <w:lang w:val="es-AR" w:eastAsia="es-AR"/>
              </w:rPr>
              <w:pict>
                <v:shape id="Imagen 6" o:spid="_x0000_i1053" type="#_x0000_t75" style="width:185.25pt;height:135.75pt;visibility:visible">
                  <v:imagedata r:id="rId21" o:title=""/>
                </v:shape>
              </w:pict>
            </w:r>
          </w:p>
        </w:tc>
        <w:tc>
          <w:tcPr>
            <w:tcW w:w="0" w:type="auto"/>
          </w:tcPr>
          <w:p w:rsidR="00E656CC" w:rsidRPr="00250808" w:rsidRDefault="00E656CC" w:rsidP="00250808">
            <w:pPr>
              <w:spacing w:before="100" w:beforeAutospacing="1" w:after="100" w:afterAutospacing="1"/>
              <w:jc w:val="center"/>
              <w:rPr>
                <w:rFonts w:ascii="Arial" w:hAnsi="Arial" w:cs="Arial"/>
                <w:noProof/>
                <w:sz w:val="22"/>
                <w:szCs w:val="22"/>
                <w:lang w:val="es-AR" w:eastAsia="es-AR"/>
              </w:rPr>
            </w:pPr>
            <w:r w:rsidRPr="00250808">
              <w:rPr>
                <w:noProof/>
                <w:lang w:val="es-AR" w:eastAsia="es-AR"/>
              </w:rPr>
              <w:pict>
                <v:shape id="Imagen 3" o:spid="_x0000_i1054" type="#_x0000_t75" style="width:185.25pt;height:135.75pt;visibility:visible">
                  <v:imagedata r:id="rId22" o:title=""/>
                </v:shape>
              </w:pict>
            </w:r>
          </w:p>
        </w:tc>
      </w:tr>
    </w:tbl>
    <w:p w:rsidR="00E656CC" w:rsidRDefault="00E656CC" w:rsidP="00895559">
      <w:pPr>
        <w:ind w:firstLine="708"/>
        <w:jc w:val="both"/>
        <w:rPr>
          <w:rFonts w:ascii="Arial" w:hAnsi="Arial" w:cs="Arial"/>
          <w:sz w:val="22"/>
          <w:szCs w:val="22"/>
        </w:rPr>
      </w:pPr>
    </w:p>
    <w:p w:rsidR="00E656CC" w:rsidRDefault="00E656CC" w:rsidP="006F1359">
      <w:pPr>
        <w:ind w:firstLine="708"/>
        <w:jc w:val="both"/>
        <w:rPr>
          <w:rFonts w:ascii="Arial" w:hAnsi="Arial" w:cs="Arial"/>
          <w:sz w:val="22"/>
          <w:szCs w:val="22"/>
        </w:rPr>
      </w:pPr>
    </w:p>
    <w:p w:rsidR="00E656CC" w:rsidRPr="00757D92" w:rsidRDefault="00E656CC" w:rsidP="006F1359">
      <w:pPr>
        <w:ind w:firstLine="708"/>
        <w:jc w:val="both"/>
        <w:rPr>
          <w:rFonts w:ascii="Arial" w:hAnsi="Arial" w:cs="Arial"/>
          <w:sz w:val="22"/>
          <w:szCs w:val="22"/>
        </w:rPr>
      </w:pPr>
      <w:r>
        <w:rPr>
          <w:rFonts w:ascii="Arial" w:hAnsi="Arial" w:cs="Arial"/>
          <w:sz w:val="22"/>
          <w:szCs w:val="22"/>
        </w:rPr>
        <w:t xml:space="preserve">En los sub-gráficos e y f, se presenta la relación entre muestra la tasa de crecimiento del PBG </w:t>
      </w:r>
      <w:r w:rsidRPr="000B5458">
        <w:rPr>
          <w:rFonts w:ascii="Arial" w:hAnsi="Arial" w:cs="Arial"/>
          <w:sz w:val="22"/>
          <w:szCs w:val="22"/>
        </w:rPr>
        <w:t>(tasay5a)</w:t>
      </w:r>
      <w:r>
        <w:rPr>
          <w:rFonts w:ascii="Arial" w:hAnsi="Arial" w:cs="Arial"/>
          <w:sz w:val="22"/>
          <w:szCs w:val="22"/>
        </w:rPr>
        <w:t xml:space="preserve"> de las provincias y las tasas de fertilidad (l5.fert) y la de mortalidad (l5.mort), respectivamente. En ambos casos se observa una confirmación de la intuición anteriormente planteada: el crecimiento económico exhibe una relación inversa con la mortalidad infantil como así también con la fertilidad.</w:t>
      </w:r>
    </w:p>
    <w:p w:rsidR="00E656CC" w:rsidRPr="00CF7780" w:rsidRDefault="00E656CC" w:rsidP="001F1EFB">
      <w:pPr>
        <w:pStyle w:val="Subtitle"/>
        <w:spacing w:before="480" w:after="100" w:afterAutospacing="1"/>
        <w:rPr>
          <w:rFonts w:ascii="Arial" w:hAnsi="Arial" w:cs="Arial"/>
          <w:iCs w:val="0"/>
          <w:color w:val="auto"/>
          <w:spacing w:val="0"/>
          <w:sz w:val="22"/>
          <w:szCs w:val="22"/>
        </w:rPr>
      </w:pPr>
      <w:r w:rsidRPr="00CF7780">
        <w:rPr>
          <w:rFonts w:ascii="Arial" w:hAnsi="Arial" w:cs="Arial"/>
          <w:iCs w:val="0"/>
          <w:color w:val="auto"/>
          <w:spacing w:val="0"/>
          <w:sz w:val="22"/>
          <w:szCs w:val="22"/>
        </w:rPr>
        <w:t>Regresión básica</w:t>
      </w:r>
    </w:p>
    <w:p w:rsidR="00E656CC" w:rsidRPr="00CF7780" w:rsidRDefault="00E656CC" w:rsidP="002E7300">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La Tabla 2 muestra las estimaciones del crecimiento del PBG per capita, en ella se presentan en las columnas 1 y 3, las estimaciones de efectos fijos. </w:t>
      </w:r>
    </w:p>
    <w:p w:rsidR="00E656CC" w:rsidRPr="00CF7780" w:rsidRDefault="00E656CC" w:rsidP="002E7300">
      <w:pPr>
        <w:spacing w:before="100" w:beforeAutospacing="1" w:after="100" w:afterAutospacing="1"/>
        <w:ind w:firstLine="709"/>
        <w:jc w:val="both"/>
        <w:rPr>
          <w:rFonts w:ascii="Arial" w:hAnsi="Arial" w:cs="Arial"/>
          <w:i/>
          <w:sz w:val="22"/>
          <w:szCs w:val="22"/>
        </w:rPr>
      </w:pPr>
      <w:r w:rsidRPr="00CF7780">
        <w:rPr>
          <w:rFonts w:ascii="Arial" w:hAnsi="Arial" w:cs="Arial"/>
          <w:sz w:val="22"/>
          <w:szCs w:val="22"/>
        </w:rPr>
        <w:t xml:space="preserve">La utilización del modelo de datos de panel de efectos fijos permite captar la influencia del nivel tecnológico inicial, una variable crucial para explicar el crecimiento a largo plazo. Dado que este nivel tecnológico inicial es constante en el tiempo, pero específico para cada una de las jurisdicciones i, su tratamiento como efecto fijo permite neutralizar cualquier sesgo de variable omitida, obteniéndose un θt para cada provincia que refleja la heterogeneidad en tecnología y en estado estacionario. Se estiman errores estándar Driscoll – Kraay para corregir por heteroscedasticidad, autocorrelación y </w:t>
      </w:r>
      <w:r w:rsidRPr="00CF7780">
        <w:rPr>
          <w:rFonts w:ascii="Arial" w:hAnsi="Arial" w:cs="Arial"/>
          <w:i/>
          <w:sz w:val="22"/>
          <w:szCs w:val="22"/>
        </w:rPr>
        <w:t xml:space="preserve">cross sectional dependence. </w:t>
      </w:r>
    </w:p>
    <w:p w:rsidR="00E656CC" w:rsidRPr="00CF7780" w:rsidRDefault="00E656CC" w:rsidP="002E7300">
      <w:pPr>
        <w:suppressAutoHyphens/>
        <w:spacing w:before="100" w:beforeAutospacing="1" w:after="100" w:afterAutospacing="1"/>
        <w:ind w:firstLine="709"/>
        <w:jc w:val="both"/>
        <w:rPr>
          <w:rFonts w:ascii="Arial" w:hAnsi="Arial" w:cs="Arial"/>
          <w:sz w:val="22"/>
          <w:szCs w:val="22"/>
        </w:rPr>
      </w:pPr>
      <w:r w:rsidRPr="00CF7780">
        <w:rPr>
          <w:rFonts w:ascii="Arial" w:hAnsi="Arial" w:cs="Arial"/>
          <w:sz w:val="22"/>
          <w:szCs w:val="22"/>
        </w:rPr>
        <w:t>La variable l5.</w:t>
      </w:r>
      <w:r w:rsidRPr="00CF7780">
        <w:rPr>
          <w:rFonts w:ascii="Arial" w:hAnsi="Arial" w:cs="Arial"/>
          <w:sz w:val="22"/>
          <w:szCs w:val="22"/>
          <w:lang w:eastAsia="es-AR"/>
        </w:rPr>
        <w:t xml:space="preserve">logpbgpc es el logaritmo del PBG rezagado cinco años. El coeficiente estimado, muestra la tendencia a la convergencia condicional que ya había sido encontrada en Figueras et. al. (2014). </w:t>
      </w:r>
      <w:r w:rsidRPr="00CF7780">
        <w:rPr>
          <w:rFonts w:ascii="Arial" w:hAnsi="Arial" w:cs="Arial"/>
          <w:sz w:val="22"/>
          <w:szCs w:val="22"/>
        </w:rPr>
        <w:t xml:space="preserve">La convergencia es condicional dado que predice un mayor crecimiento cuanto menor sea el PBGpc inicial, </w:t>
      </w:r>
      <w:r w:rsidRPr="00CF7780">
        <w:rPr>
          <w:rFonts w:ascii="Arial" w:hAnsi="Arial" w:cs="Arial"/>
          <w:i/>
          <w:sz w:val="22"/>
          <w:szCs w:val="22"/>
        </w:rPr>
        <w:t>ceteris paribus</w:t>
      </w:r>
      <w:r w:rsidRPr="00CF7780">
        <w:rPr>
          <w:rFonts w:ascii="Arial" w:hAnsi="Arial" w:cs="Arial"/>
          <w:sz w:val="22"/>
          <w:szCs w:val="22"/>
        </w:rPr>
        <w:t>, estimándose un coeficiente de convergencia (</w:t>
      </w:r>
      <w:r w:rsidRPr="00250808">
        <w:rPr>
          <w:rFonts w:ascii="Arial" w:hAnsi="Arial" w:cs="Arial"/>
          <w:sz w:val="22"/>
          <w:szCs w:val="22"/>
        </w:rPr>
        <w:fldChar w:fldCharType="begin"/>
      </w:r>
      <w:r w:rsidRPr="00250808">
        <w:rPr>
          <w:rFonts w:ascii="Arial" w:hAnsi="Arial" w:cs="Arial"/>
          <w:sz w:val="22"/>
          <w:szCs w:val="22"/>
        </w:rPr>
        <w:instrText xml:space="preserve"> QUOTE </w:instrText>
      </w:r>
      <w:r w:rsidRPr="00250808">
        <w:pict>
          <v:shape id="_x0000_i1055" type="#_x0000_t75" style="width:1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C6385&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8C6385&quot;&gt;&lt;m:oMathPara&gt;&lt;m:oMath&gt;&lt;m:r&gt;&lt;m:rPr&gt;&lt;m:sty m:val=&quot;p&quot;/&gt;&lt;/m:rPr&gt;&lt;w:rPr&gt;&lt;w:rFonts w:ascii=&quot;Cambria Math&quot; w:h-ansi=&quot;Cambria Math&quot; w:cs=&quot;Arial&quot;/&gt;&lt;wx:font wx:val=&quot;Cambria Math&quot;/&gt;&lt;w:sz w:val=&quot;22&quot;/&gt;&lt;w:sz-cs w:val=&quot;22&quot;/&gt;&lt;/w:rPr&gt;&lt;m:t&gt;Î²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250808">
        <w:rPr>
          <w:rFonts w:ascii="Arial" w:hAnsi="Arial" w:cs="Arial"/>
          <w:sz w:val="22"/>
          <w:szCs w:val="22"/>
        </w:rPr>
        <w:instrText xml:space="preserve"> </w:instrText>
      </w:r>
      <w:r w:rsidRPr="00250808">
        <w:rPr>
          <w:rFonts w:ascii="Arial" w:hAnsi="Arial" w:cs="Arial"/>
          <w:sz w:val="22"/>
          <w:szCs w:val="22"/>
        </w:rPr>
        <w:fldChar w:fldCharType="separate"/>
      </w:r>
      <w:r w:rsidRPr="00250808">
        <w:pict>
          <v:shape id="_x0000_i1056" type="#_x0000_t75" style="width:1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stylePaneFormatFilter w:val=&quot;3F01&quot;/&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A0CB5&quot;/&gt;&lt;wsp:rsid wsp:val=&quot;00004BCE&quot;/&gt;&lt;wsp:rsid wsp:val=&quot;00010885&quot;/&gt;&lt;wsp:rsid wsp:val=&quot;00011A42&quot;/&gt;&lt;wsp:rsid wsp:val=&quot;00013E78&quot;/&gt;&lt;wsp:rsid wsp:val=&quot;000256FB&quot;/&gt;&lt;wsp:rsid wsp:val=&quot;00034335&quot;/&gt;&lt;wsp:rsid wsp:val=&quot;00042FA7&quot;/&gt;&lt;wsp:rsid wsp:val=&quot;0005073A&quot;/&gt;&lt;wsp:rsid wsp:val=&quot;0007766E&quot;/&gt;&lt;wsp:rsid wsp:val=&quot;000869F8&quot;/&gt;&lt;wsp:rsid wsp:val=&quot;00087568&quot;/&gt;&lt;wsp:rsid wsp:val=&quot;000969F4&quot;/&gt;&lt;wsp:rsid wsp:val=&quot;000A287B&quot;/&gt;&lt;wsp:rsid wsp:val=&quot;000A4BD4&quot;/&gt;&lt;wsp:rsid wsp:val=&quot;000A7413&quot;/&gt;&lt;wsp:rsid wsp:val=&quot;000B15FF&quot;/&gt;&lt;wsp:rsid wsp:val=&quot;000B3E4F&quot;/&gt;&lt;wsp:rsid wsp:val=&quot;000B5458&quot;/&gt;&lt;wsp:rsid wsp:val=&quot;000C19F9&quot;/&gt;&lt;wsp:rsid wsp:val=&quot;000C4D6F&quot;/&gt;&lt;wsp:rsid wsp:val=&quot;000D0478&quot;/&gt;&lt;wsp:rsid wsp:val=&quot;000D404D&quot;/&gt;&lt;wsp:rsid wsp:val=&quot;000D6793&quot;/&gt;&lt;wsp:rsid wsp:val=&quot;000D6CD0&quot;/&gt;&lt;wsp:rsid wsp:val=&quot;000E10E3&quot;/&gt;&lt;wsp:rsid wsp:val=&quot;000E2716&quot;/&gt;&lt;wsp:rsid wsp:val=&quot;000E3001&quot;/&gt;&lt;wsp:rsid wsp:val=&quot;000E3408&quot;/&gt;&lt;wsp:rsid wsp:val=&quot;000F171B&quot;/&gt;&lt;wsp:rsid wsp:val=&quot;000F779E&quot;/&gt;&lt;wsp:rsid wsp:val=&quot;000F7B0E&quot;/&gt;&lt;wsp:rsid wsp:val=&quot;001006CC&quot;/&gt;&lt;wsp:rsid wsp:val=&quot;00101DAC&quot;/&gt;&lt;wsp:rsid wsp:val=&quot;00103FEF&quot;/&gt;&lt;wsp:rsid wsp:val=&quot;0011171C&quot;/&gt;&lt;wsp:rsid wsp:val=&quot;0011651B&quot;/&gt;&lt;wsp:rsid wsp:val=&quot;001207E2&quot;/&gt;&lt;wsp:rsid wsp:val=&quot;0012350C&quot;/&gt;&lt;wsp:rsid wsp:val=&quot;001340C5&quot;/&gt;&lt;wsp:rsid wsp:val=&quot;00141E32&quot;/&gt;&lt;wsp:rsid wsp:val=&quot;0015049C&quot;/&gt;&lt;wsp:rsid wsp:val=&quot;00150E5E&quot;/&gt;&lt;wsp:rsid wsp:val=&quot;0015277F&quot;/&gt;&lt;wsp:rsid wsp:val=&quot;001560D1&quot;/&gt;&lt;wsp:rsid wsp:val=&quot;001578AA&quot;/&gt;&lt;wsp:rsid wsp:val=&quot;00160936&quot;/&gt;&lt;wsp:rsid wsp:val=&quot;001618C0&quot;/&gt;&lt;wsp:rsid wsp:val=&quot;00165C52&quot;/&gt;&lt;wsp:rsid wsp:val=&quot;00167ACC&quot;/&gt;&lt;wsp:rsid wsp:val=&quot;00171A4F&quot;/&gt;&lt;wsp:rsid wsp:val=&quot;00171EDE&quot;/&gt;&lt;wsp:rsid wsp:val=&quot;0017283D&quot;/&gt;&lt;wsp:rsid wsp:val=&quot;00176591&quot;/&gt;&lt;wsp:rsid wsp:val=&quot;00180934&quot;/&gt;&lt;wsp:rsid wsp:val=&quot;00186F7E&quot;/&gt;&lt;wsp:rsid wsp:val=&quot;001875F2&quot;/&gt;&lt;wsp:rsid wsp:val=&quot;00195F63&quot;/&gt;&lt;wsp:rsid wsp:val=&quot;0019693D&quot;/&gt;&lt;wsp:rsid wsp:val=&quot;001A07DE&quot;/&gt;&lt;wsp:rsid wsp:val=&quot;001A0CB5&quot;/&gt;&lt;wsp:rsid wsp:val=&quot;001A146B&quot;/&gt;&lt;wsp:rsid wsp:val=&quot;001A6541&quot;/&gt;&lt;wsp:rsid wsp:val=&quot;001B1546&quot;/&gt;&lt;wsp:rsid wsp:val=&quot;001B5AC2&quot;/&gt;&lt;wsp:rsid wsp:val=&quot;001B5E61&quot;/&gt;&lt;wsp:rsid wsp:val=&quot;001C2366&quot;/&gt;&lt;wsp:rsid wsp:val=&quot;001C3558&quot;/&gt;&lt;wsp:rsid wsp:val=&quot;001C46A1&quot;/&gt;&lt;wsp:rsid wsp:val=&quot;001C6D47&quot;/&gt;&lt;wsp:rsid wsp:val=&quot;001C718E&quot;/&gt;&lt;wsp:rsid wsp:val=&quot;001C7FB8&quot;/&gt;&lt;wsp:rsid wsp:val=&quot;001D01E6&quot;/&gt;&lt;wsp:rsid wsp:val=&quot;001D06DC&quot;/&gt;&lt;wsp:rsid wsp:val=&quot;001D2763&quot;/&gt;&lt;wsp:rsid wsp:val=&quot;001D2B66&quot;/&gt;&lt;wsp:rsid wsp:val=&quot;001D669B&quot;/&gt;&lt;wsp:rsid wsp:val=&quot;001D71D4&quot;/&gt;&lt;wsp:rsid wsp:val=&quot;001D7F24&quot;/&gt;&lt;wsp:rsid wsp:val=&quot;001E4894&quot;/&gt;&lt;wsp:rsid wsp:val=&quot;001E4B94&quot;/&gt;&lt;wsp:rsid wsp:val=&quot;001F114B&quot;/&gt;&lt;wsp:rsid wsp:val=&quot;001F1289&quot;/&gt;&lt;wsp:rsid wsp:val=&quot;001F1957&quot;/&gt;&lt;wsp:rsid wsp:val=&quot;001F1EFB&quot;/&gt;&lt;wsp:rsid wsp:val=&quot;001F215A&quot;/&gt;&lt;wsp:rsid wsp:val=&quot;001F4884&quot;/&gt;&lt;wsp:rsid wsp:val=&quot;001F59CE&quot;/&gt;&lt;wsp:rsid wsp:val=&quot;00203E18&quot;/&gt;&lt;wsp:rsid wsp:val=&quot;00206907&quot;/&gt;&lt;wsp:rsid wsp:val=&quot;00206C76&quot;/&gt;&lt;wsp:rsid wsp:val=&quot;00210132&quot;/&gt;&lt;wsp:rsid wsp:val=&quot;0021122E&quot;/&gt;&lt;wsp:rsid wsp:val=&quot;002126F7&quot;/&gt;&lt;wsp:rsid wsp:val=&quot;00212F26&quot;/&gt;&lt;wsp:rsid wsp:val=&quot;00217733&quot;/&gt;&lt;wsp:rsid wsp:val=&quot;00227141&quot;/&gt;&lt;wsp:rsid wsp:val=&quot;00227B56&quot;/&gt;&lt;wsp:rsid wsp:val=&quot;002316BE&quot;/&gt;&lt;wsp:rsid wsp:val=&quot;00233CC2&quot;/&gt;&lt;wsp:rsid wsp:val=&quot;00235D5E&quot;/&gt;&lt;wsp:rsid wsp:val=&quot;00245F65&quot;/&gt;&lt;wsp:rsid wsp:val=&quot;002476B2&quot;/&gt;&lt;wsp:rsid wsp:val=&quot;00250808&quot;/&gt;&lt;wsp:rsid wsp:val=&quot;00253B1B&quot;/&gt;&lt;wsp:rsid wsp:val=&quot;00253C55&quot;/&gt;&lt;wsp:rsid wsp:val=&quot;00256004&quot;/&gt;&lt;wsp:rsid wsp:val=&quot;00257B6C&quot;/&gt;&lt;wsp:rsid wsp:val=&quot;0026320B&quot;/&gt;&lt;wsp:rsid wsp:val=&quot;00264E1E&quot;/&gt;&lt;wsp:rsid wsp:val=&quot;00267144&quot;/&gt;&lt;wsp:rsid wsp:val=&quot;00273843&quot;/&gt;&lt;wsp:rsid wsp:val=&quot;00274C16&quot;/&gt;&lt;wsp:rsid wsp:val=&quot;00281FD8&quot;/&gt;&lt;wsp:rsid wsp:val=&quot;00284CD5&quot;/&gt;&lt;wsp:rsid wsp:val=&quot;00292C6E&quot;/&gt;&lt;wsp:rsid wsp:val=&quot;00293DA4&quot;/&gt;&lt;wsp:rsid wsp:val=&quot;002A3E09&quot;/&gt;&lt;wsp:rsid wsp:val=&quot;002A6392&quot;/&gt;&lt;wsp:rsid wsp:val=&quot;002B55AA&quot;/&gt;&lt;wsp:rsid wsp:val=&quot;002C10A3&quot;/&gt;&lt;wsp:rsid wsp:val=&quot;002C6089&quot;/&gt;&lt;wsp:rsid wsp:val=&quot;002D5030&quot;/&gt;&lt;wsp:rsid wsp:val=&quot;002E0A44&quot;/&gt;&lt;wsp:rsid wsp:val=&quot;002E7300&quot;/&gt;&lt;wsp:rsid wsp:val=&quot;002E756B&quot;/&gt;&lt;wsp:rsid wsp:val=&quot;002F154C&quot;/&gt;&lt;wsp:rsid wsp:val=&quot;002F2884&quot;/&gt;&lt;wsp:rsid wsp:val=&quot;002F34EB&quot;/&gt;&lt;wsp:rsid wsp:val=&quot;002F4703&quot;/&gt;&lt;wsp:rsid wsp:val=&quot;002F5473&quot;/&gt;&lt;wsp:rsid wsp:val=&quot;002F655F&quot;/&gt;&lt;wsp:rsid wsp:val=&quot;00301DA5&quot;/&gt;&lt;wsp:rsid wsp:val=&quot;00302F60&quot;/&gt;&lt;wsp:rsid wsp:val=&quot;00303327&quot;/&gt;&lt;wsp:rsid wsp:val=&quot;00306006&quot;/&gt;&lt;wsp:rsid wsp:val=&quot;003069D5&quot;/&gt;&lt;wsp:rsid wsp:val=&quot;00310F4E&quot;/&gt;&lt;wsp:rsid wsp:val=&quot;003124C9&quot;/&gt;&lt;wsp:rsid wsp:val=&quot;00315F26&quot;/&gt;&lt;wsp:rsid wsp:val=&quot;00317925&quot;/&gt;&lt;wsp:rsid wsp:val=&quot;003219C5&quot;/&gt;&lt;wsp:rsid wsp:val=&quot;003253DB&quot;/&gt;&lt;wsp:rsid wsp:val=&quot;00326548&quot;/&gt;&lt;wsp:rsid wsp:val=&quot;00331F1F&quot;/&gt;&lt;wsp:rsid wsp:val=&quot;00336392&quot;/&gt;&lt;wsp:rsid wsp:val=&quot;003457D4&quot;/&gt;&lt;wsp:rsid wsp:val=&quot;00350CB3&quot;/&gt;&lt;wsp:rsid wsp:val=&quot;00350EBA&quot;/&gt;&lt;wsp:rsid wsp:val=&quot;003513B6&quot;/&gt;&lt;wsp:rsid wsp:val=&quot;00353BA5&quot;/&gt;&lt;wsp:rsid wsp:val=&quot;003600A1&quot;/&gt;&lt;wsp:rsid wsp:val=&quot;00360C27&quot;/&gt;&lt;wsp:rsid wsp:val=&quot;00367C46&quot;/&gt;&lt;wsp:rsid wsp:val=&quot;00374A6E&quot;/&gt;&lt;wsp:rsid wsp:val=&quot;00375A5E&quot;/&gt;&lt;wsp:rsid wsp:val=&quot;00381AEA&quot;/&gt;&lt;wsp:rsid wsp:val=&quot;003821A6&quot;/&gt;&lt;wsp:rsid wsp:val=&quot;00393E97&quot;/&gt;&lt;wsp:rsid wsp:val=&quot;003A2C77&quot;/&gt;&lt;wsp:rsid wsp:val=&quot;003A724A&quot;/&gt;&lt;wsp:rsid wsp:val=&quot;003B5D3A&quot;/&gt;&lt;wsp:rsid wsp:val=&quot;003B64B2&quot;/&gt;&lt;wsp:rsid wsp:val=&quot;003B7666&quot;/&gt;&lt;wsp:rsid wsp:val=&quot;003B7766&quot;/&gt;&lt;wsp:rsid wsp:val=&quot;003C0AC8&quot;/&gt;&lt;wsp:rsid wsp:val=&quot;003D0D40&quot;/&gt;&lt;wsp:rsid wsp:val=&quot;003D2190&quot;/&gt;&lt;wsp:rsid wsp:val=&quot;003D428D&quot;/&gt;&lt;wsp:rsid wsp:val=&quot;003D4745&quot;/&gt;&lt;wsp:rsid wsp:val=&quot;003D5B87&quot;/&gt;&lt;wsp:rsid wsp:val=&quot;003E28A0&quot;/&gt;&lt;wsp:rsid wsp:val=&quot;003E6D68&quot;/&gt;&lt;wsp:rsid wsp:val=&quot;003E7694&quot;/&gt;&lt;wsp:rsid wsp:val=&quot;003F0898&quot;/&gt;&lt;wsp:rsid wsp:val=&quot;003F0C89&quot;/&gt;&lt;wsp:rsid wsp:val=&quot;003F0CAE&quot;/&gt;&lt;wsp:rsid wsp:val=&quot;004041ED&quot;/&gt;&lt;wsp:rsid wsp:val=&quot;00405086&quot;/&gt;&lt;wsp:rsid wsp:val=&quot;00406139&quot;/&gt;&lt;wsp:rsid wsp:val=&quot;00413E2E&quot;/&gt;&lt;wsp:rsid wsp:val=&quot;00420A6E&quot;/&gt;&lt;wsp:rsid wsp:val=&quot;00420A6F&quot;/&gt;&lt;wsp:rsid wsp:val=&quot;00420B23&quot;/&gt;&lt;wsp:rsid wsp:val=&quot;0042153F&quot;/&gt;&lt;wsp:rsid wsp:val=&quot;00421DBD&quot;/&gt;&lt;wsp:rsid wsp:val=&quot;0042672D&quot;/&gt;&lt;wsp:rsid wsp:val=&quot;00426810&quot;/&gt;&lt;wsp:rsid wsp:val=&quot;0043123B&quot;/&gt;&lt;wsp:rsid wsp:val=&quot;00431462&quot;/&gt;&lt;wsp:rsid wsp:val=&quot;00442E9D&quot;/&gt;&lt;wsp:rsid wsp:val=&quot;00444AED&quot;/&gt;&lt;wsp:rsid wsp:val=&quot;00446A8C&quot;/&gt;&lt;wsp:rsid wsp:val=&quot;00452658&quot;/&gt;&lt;wsp:rsid wsp:val=&quot;00452CE0&quot;/&gt;&lt;wsp:rsid wsp:val=&quot;004568B1&quot;/&gt;&lt;wsp:rsid wsp:val=&quot;00457986&quot;/&gt;&lt;wsp:rsid wsp:val=&quot;0046363E&quot;/&gt;&lt;wsp:rsid wsp:val=&quot;00464D89&quot;/&gt;&lt;wsp:rsid wsp:val=&quot;00466EA6&quot;/&gt;&lt;wsp:rsid wsp:val=&quot;004679B5&quot;/&gt;&lt;wsp:rsid wsp:val=&quot;0047042B&quot;/&gt;&lt;wsp:rsid wsp:val=&quot;00472B05&quot;/&gt;&lt;wsp:rsid wsp:val=&quot;00474B7D&quot;/&gt;&lt;wsp:rsid wsp:val=&quot;00477BEE&quot;/&gt;&lt;wsp:rsid wsp:val=&quot;004815FF&quot;/&gt;&lt;wsp:rsid wsp:val=&quot;0048234A&quot;/&gt;&lt;wsp:rsid wsp:val=&quot;00485704&quot;/&gt;&lt;wsp:rsid wsp:val=&quot;004857A2&quot;/&gt;&lt;wsp:rsid wsp:val=&quot;00491820&quot;/&gt;&lt;wsp:rsid wsp:val=&quot;00495C2B&quot;/&gt;&lt;wsp:rsid wsp:val=&quot;004B296B&quot;/&gt;&lt;wsp:rsid wsp:val=&quot;004B3518&quot;/&gt;&lt;wsp:rsid wsp:val=&quot;004B5E8E&quot;/&gt;&lt;wsp:rsid wsp:val=&quot;004C3CF4&quot;/&gt;&lt;wsp:rsid wsp:val=&quot;004C53C2&quot;/&gt;&lt;wsp:rsid wsp:val=&quot;004C66EA&quot;/&gt;&lt;wsp:rsid wsp:val=&quot;004D031E&quot;/&gt;&lt;wsp:rsid wsp:val=&quot;004D4DA8&quot;/&gt;&lt;wsp:rsid wsp:val=&quot;004E1236&quot;/&gt;&lt;wsp:rsid wsp:val=&quot;004E2CD6&quot;/&gt;&lt;wsp:rsid wsp:val=&quot;00504955&quot;/&gt;&lt;wsp:rsid wsp:val=&quot;00506EC3&quot;/&gt;&lt;wsp:rsid wsp:val=&quot;00513C6F&quot;/&gt;&lt;wsp:rsid wsp:val=&quot;00514640&quot;/&gt;&lt;wsp:rsid wsp:val=&quot;005146C3&quot;/&gt;&lt;wsp:rsid wsp:val=&quot;005220B7&quot;/&gt;&lt;wsp:rsid wsp:val=&quot;00524088&quot;/&gt;&lt;wsp:rsid wsp:val=&quot;00524814&quot;/&gt;&lt;wsp:rsid wsp:val=&quot;00530D96&quot;/&gt;&lt;wsp:rsid wsp:val=&quot;00531ADB&quot;/&gt;&lt;wsp:rsid wsp:val=&quot;00541C9F&quot;/&gt;&lt;wsp:rsid wsp:val=&quot;00541F37&quot;/&gt;&lt;wsp:rsid wsp:val=&quot;00543D19&quot;/&gt;&lt;wsp:rsid wsp:val=&quot;00544AFC&quot;/&gt;&lt;wsp:rsid wsp:val=&quot;00546270&quot;/&gt;&lt;wsp:rsid wsp:val=&quot;00553337&quot;/&gt;&lt;wsp:rsid wsp:val=&quot;00560041&quot;/&gt;&lt;wsp:rsid wsp:val=&quot;00561253&quot;/&gt;&lt;wsp:rsid wsp:val=&quot;005623D1&quot;/&gt;&lt;wsp:rsid wsp:val=&quot;0056782C&quot;/&gt;&lt;wsp:rsid wsp:val=&quot;005700C6&quot;/&gt;&lt;wsp:rsid wsp:val=&quot;00570139&quot;/&gt;&lt;wsp:rsid wsp:val=&quot;005748A8&quot;/&gt;&lt;wsp:rsid wsp:val=&quot;00580A68&quot;/&gt;&lt;wsp:rsid wsp:val=&quot;005816C3&quot;/&gt;&lt;wsp:rsid wsp:val=&quot;005823C4&quot;/&gt;&lt;wsp:rsid wsp:val=&quot;00584BBF&quot;/&gt;&lt;wsp:rsid wsp:val=&quot;00593568&quot;/&gt;&lt;wsp:rsid wsp:val=&quot;005958B0&quot;/&gt;&lt;wsp:rsid wsp:val=&quot;00595F33&quot;/&gt;&lt;wsp:rsid wsp:val=&quot;00596D6C&quot;/&gt;&lt;wsp:rsid wsp:val=&quot;00597CFD&quot;/&gt;&lt;wsp:rsid wsp:val=&quot;00597EF8&quot;/&gt;&lt;wsp:rsid wsp:val=&quot;005A10DA&quot;/&gt;&lt;wsp:rsid wsp:val=&quot;005B37C5&quot;/&gt;&lt;wsp:rsid wsp:val=&quot;005B3A84&quot;/&gt;&lt;wsp:rsid wsp:val=&quot;005B4146&quot;/&gt;&lt;wsp:rsid wsp:val=&quot;005B48BA&quot;/&gt;&lt;wsp:rsid wsp:val=&quot;005C07CB&quot;/&gt;&lt;wsp:rsid wsp:val=&quot;005C124A&quot;/&gt;&lt;wsp:rsid wsp:val=&quot;005C7552&quot;/&gt;&lt;wsp:rsid wsp:val=&quot;005C7B47&quot;/&gt;&lt;wsp:rsid wsp:val=&quot;005D4905&quot;/&gt;&lt;wsp:rsid wsp:val=&quot;005E0EA4&quot;/&gt;&lt;wsp:rsid wsp:val=&quot;005E127C&quot;/&gt;&lt;wsp:rsid wsp:val=&quot;005E16F7&quot;/&gt;&lt;wsp:rsid wsp:val=&quot;005F0994&quot;/&gt;&lt;wsp:rsid wsp:val=&quot;005F1A9A&quot;/&gt;&lt;wsp:rsid wsp:val=&quot;005F244A&quot;/&gt;&lt;wsp:rsid wsp:val=&quot;005F64AB&quot;/&gt;&lt;wsp:rsid wsp:val=&quot;005F693C&quot;/&gt;&lt;wsp:rsid wsp:val=&quot;00604978&quot;/&gt;&lt;wsp:rsid wsp:val=&quot;006070BD&quot;/&gt;&lt;wsp:rsid wsp:val=&quot;00607248&quot;/&gt;&lt;wsp:rsid wsp:val=&quot;00611E0D&quot;/&gt;&lt;wsp:rsid wsp:val=&quot;00613529&quot;/&gt;&lt;wsp:rsid wsp:val=&quot;0062196B&quot;/&gt;&lt;wsp:rsid wsp:val=&quot;00622380&quot;/&gt;&lt;wsp:rsid wsp:val=&quot;00622FFE&quot;/&gt;&lt;wsp:rsid wsp:val=&quot;0062431D&quot;/&gt;&lt;wsp:rsid wsp:val=&quot;00627637&quot;/&gt;&lt;wsp:rsid wsp:val=&quot;00627911&quot;/&gt;&lt;wsp:rsid wsp:val=&quot;00631768&quot;/&gt;&lt;wsp:rsid wsp:val=&quot;006318A5&quot;/&gt;&lt;wsp:rsid wsp:val=&quot;00634FE8&quot;/&gt;&lt;wsp:rsid wsp:val=&quot;00637442&quot;/&gt;&lt;wsp:rsid wsp:val=&quot;00637A4C&quot;/&gt;&lt;wsp:rsid wsp:val=&quot;00640B6B&quot;/&gt;&lt;wsp:rsid wsp:val=&quot;00641ACD&quot;/&gt;&lt;wsp:rsid wsp:val=&quot;0064278A&quot;/&gt;&lt;wsp:rsid wsp:val=&quot;00646E70&quot;/&gt;&lt;wsp:rsid wsp:val=&quot;0065400A&quot;/&gt;&lt;wsp:rsid wsp:val=&quot;00656164&quot;/&gt;&lt;wsp:rsid wsp:val=&quot;00657957&quot;/&gt;&lt;wsp:rsid wsp:val=&quot;00657EE3&quot;/&gt;&lt;wsp:rsid wsp:val=&quot;006602F1&quot;/&gt;&lt;wsp:rsid wsp:val=&quot;006614F6&quot;/&gt;&lt;wsp:rsid wsp:val=&quot;00664362&quot;/&gt;&lt;wsp:rsid wsp:val=&quot;00667585&quot;/&gt;&lt;wsp:rsid wsp:val=&quot;006706DD&quot;/&gt;&lt;wsp:rsid wsp:val=&quot;00670CF0&quot;/&gt;&lt;wsp:rsid wsp:val=&quot;006715FE&quot;/&gt;&lt;wsp:rsid wsp:val=&quot;00672306&quot;/&gt;&lt;wsp:rsid wsp:val=&quot;006758B0&quot;/&gt;&lt;wsp:rsid wsp:val=&quot;00675AB0&quot;/&gt;&lt;wsp:rsid wsp:val=&quot;0068308E&quot;/&gt;&lt;wsp:rsid wsp:val=&quot;00683EB7&quot;/&gt;&lt;wsp:rsid wsp:val=&quot;006859E1&quot;/&gt;&lt;wsp:rsid wsp:val=&quot;006864B4&quot;/&gt;&lt;wsp:rsid wsp:val=&quot;0069162F&quot;/&gt;&lt;wsp:rsid wsp:val=&quot;0069454C&quot;/&gt;&lt;wsp:rsid wsp:val=&quot;006A1013&quot;/&gt;&lt;wsp:rsid wsp:val=&quot;006A288A&quot;/&gt;&lt;wsp:rsid wsp:val=&quot;006A3D7D&quot;/&gt;&lt;wsp:rsid wsp:val=&quot;006B151D&quot;/&gt;&lt;wsp:rsid wsp:val=&quot;006B2247&quot;/&gt;&lt;wsp:rsid wsp:val=&quot;006B4586&quot;/&gt;&lt;wsp:rsid wsp:val=&quot;006B63DC&quot;/&gt;&lt;wsp:rsid wsp:val=&quot;006B6773&quot;/&gt;&lt;wsp:rsid wsp:val=&quot;006C2B29&quot;/&gt;&lt;wsp:rsid wsp:val=&quot;006C305B&quot;/&gt;&lt;wsp:rsid wsp:val=&quot;006D31E0&quot;/&gt;&lt;wsp:rsid wsp:val=&quot;006D7050&quot;/&gt;&lt;wsp:rsid wsp:val=&quot;006E13AF&quot;/&gt;&lt;wsp:rsid wsp:val=&quot;006F0764&quot;/&gt;&lt;wsp:rsid wsp:val=&quot;006F1359&quot;/&gt;&lt;wsp:rsid wsp:val=&quot;006F1C59&quot;/&gt;&lt;wsp:rsid wsp:val=&quot;00700E08&quot;/&gt;&lt;wsp:rsid wsp:val=&quot;00706771&quot;/&gt;&lt;wsp:rsid wsp:val=&quot;00707ABE&quot;/&gt;&lt;wsp:rsid wsp:val=&quot;007103C0&quot;/&gt;&lt;wsp:rsid wsp:val=&quot;007104AB&quot;/&gt;&lt;wsp:rsid wsp:val=&quot;007105B1&quot;/&gt;&lt;wsp:rsid wsp:val=&quot;007129E8&quot;/&gt;&lt;wsp:rsid wsp:val=&quot;007136A4&quot;/&gt;&lt;wsp:rsid wsp:val=&quot;00716457&quot;/&gt;&lt;wsp:rsid wsp:val=&quot;00716769&quot;/&gt;&lt;wsp:rsid wsp:val=&quot;00721728&quot;/&gt;&lt;wsp:rsid wsp:val=&quot;00721F75&quot;/&gt;&lt;wsp:rsid wsp:val=&quot;00731189&quot;/&gt;&lt;wsp:rsid wsp:val=&quot;00734381&quot;/&gt;&lt;wsp:rsid wsp:val=&quot;00741C31&quot;/&gt;&lt;wsp:rsid wsp:val=&quot;00742C81&quot;/&gt;&lt;wsp:rsid wsp:val=&quot;00742EE5&quot;/&gt;&lt;wsp:rsid wsp:val=&quot;00743CC4&quot;/&gt;&lt;wsp:rsid wsp:val=&quot;00754F0C&quot;/&gt;&lt;wsp:rsid wsp:val=&quot;007578AC&quot;/&gt;&lt;wsp:rsid wsp:val=&quot;00757D92&quot;/&gt;&lt;wsp:rsid wsp:val=&quot;007618B2&quot;/&gt;&lt;wsp:rsid wsp:val=&quot;007623E6&quot;/&gt;&lt;wsp:rsid wsp:val=&quot;00763C5A&quot;/&gt;&lt;wsp:rsid wsp:val=&quot;00764A6F&quot;/&gt;&lt;wsp:rsid wsp:val=&quot;00764AAE&quot;/&gt;&lt;wsp:rsid wsp:val=&quot;00764B17&quot;/&gt;&lt;wsp:rsid wsp:val=&quot;00764F3C&quot;/&gt;&lt;wsp:rsid wsp:val=&quot;007651F0&quot;/&gt;&lt;wsp:rsid wsp:val=&quot;007676D8&quot;/&gt;&lt;wsp:rsid wsp:val=&quot;00767815&quot;/&gt;&lt;wsp:rsid wsp:val=&quot;00770726&quot;/&gt;&lt;wsp:rsid wsp:val=&quot;00774387&quot;/&gt;&lt;wsp:rsid wsp:val=&quot;00775989&quot;/&gt;&lt;wsp:rsid wsp:val=&quot;0077692C&quot;/&gt;&lt;wsp:rsid wsp:val=&quot;00781AD0&quot;/&gt;&lt;wsp:rsid wsp:val=&quot;00787196&quot;/&gt;&lt;wsp:rsid wsp:val=&quot;00787869&quot;/&gt;&lt;wsp:rsid wsp:val=&quot;00787CB9&quot;/&gt;&lt;wsp:rsid wsp:val=&quot;00787CFF&quot;/&gt;&lt;wsp:rsid wsp:val=&quot;007A1C36&quot;/&gt;&lt;wsp:rsid wsp:val=&quot;007A34C0&quot;/&gt;&lt;wsp:rsid wsp:val=&quot;007A4141&quot;/&gt;&lt;wsp:rsid wsp:val=&quot;007A503E&quot;/&gt;&lt;wsp:rsid wsp:val=&quot;007A5EE6&quot;/&gt;&lt;wsp:rsid wsp:val=&quot;007A6ABC&quot;/&gt;&lt;wsp:rsid wsp:val=&quot;007A6B62&quot;/&gt;&lt;wsp:rsid wsp:val=&quot;007B0BA8&quot;/&gt;&lt;wsp:rsid wsp:val=&quot;007B447B&quot;/&gt;&lt;wsp:rsid wsp:val=&quot;007C1FCA&quot;/&gt;&lt;wsp:rsid wsp:val=&quot;007D0A14&quot;/&gt;&lt;wsp:rsid wsp:val=&quot;007D3B79&quot;/&gt;&lt;wsp:rsid wsp:val=&quot;007D4A03&quot;/&gt;&lt;wsp:rsid wsp:val=&quot;007E4F2D&quot;/&gt;&lt;wsp:rsid wsp:val=&quot;007F5F92&quot;/&gt;&lt;wsp:rsid wsp:val=&quot;00800B08&quot;/&gt;&lt;wsp:rsid wsp:val=&quot;008011D9&quot;/&gt;&lt;wsp:rsid wsp:val=&quot;0080314D&quot;/&gt;&lt;wsp:rsid wsp:val=&quot;008045B3&quot;/&gt;&lt;wsp:rsid wsp:val=&quot;0080701A&quot;/&gt;&lt;wsp:rsid wsp:val=&quot;00814B3C&quot;/&gt;&lt;wsp:rsid wsp:val=&quot;00820661&quot;/&gt;&lt;wsp:rsid wsp:val=&quot;008237A9&quot;/&gt;&lt;wsp:rsid wsp:val=&quot;0082775E&quot;/&gt;&lt;wsp:rsid wsp:val=&quot;0083043A&quot;/&gt;&lt;wsp:rsid wsp:val=&quot;00837F03&quot;/&gt;&lt;wsp:rsid wsp:val=&quot;00841CDC&quot;/&gt;&lt;wsp:rsid wsp:val=&quot;00852B19&quot;/&gt;&lt;wsp:rsid wsp:val=&quot;00853B4A&quot;/&gt;&lt;wsp:rsid wsp:val=&quot;008542C6&quot;/&gt;&lt;wsp:rsid wsp:val=&quot;00856D0C&quot;/&gt;&lt;wsp:rsid wsp:val=&quot;00856E99&quot;/&gt;&lt;wsp:rsid wsp:val=&quot;008606BB&quot;/&gt;&lt;wsp:rsid wsp:val=&quot;00861D05&quot;/&gt;&lt;wsp:rsid wsp:val=&quot;00862D31&quot;/&gt;&lt;wsp:rsid wsp:val=&quot;0086355B&quot;/&gt;&lt;wsp:rsid wsp:val=&quot;00865B33&quot;/&gt;&lt;wsp:rsid wsp:val=&quot;0086651E&quot;/&gt;&lt;wsp:rsid wsp:val=&quot;008718EC&quot;/&gt;&lt;wsp:rsid wsp:val=&quot;00871F50&quot;/&gt;&lt;wsp:rsid wsp:val=&quot;00873A9C&quot;/&gt;&lt;wsp:rsid wsp:val=&quot;00884D6A&quot;/&gt;&lt;wsp:rsid wsp:val=&quot;00884E99&quot;/&gt;&lt;wsp:rsid wsp:val=&quot;00885136&quot;/&gt;&lt;wsp:rsid wsp:val=&quot;008851AC&quot;/&gt;&lt;wsp:rsid wsp:val=&quot;0089073F&quot;/&gt;&lt;wsp:rsid wsp:val=&quot;00893E94&quot;/&gt;&lt;wsp:rsid wsp:val=&quot;00894CCC&quot;/&gt;&lt;wsp:rsid wsp:val=&quot;00895559&quot;/&gt;&lt;wsp:rsid wsp:val=&quot;008969B7&quot;/&gt;&lt;wsp:rsid wsp:val=&quot;008A0288&quot;/&gt;&lt;wsp:rsid wsp:val=&quot;008A3CCB&quot;/&gt;&lt;wsp:rsid wsp:val=&quot;008A42AD&quot;/&gt;&lt;wsp:rsid wsp:val=&quot;008A5C6A&quot;/&gt;&lt;wsp:rsid wsp:val=&quot;008A790A&quot;/&gt;&lt;wsp:rsid wsp:val=&quot;008B5704&quot;/&gt;&lt;wsp:rsid wsp:val=&quot;008B7602&quot;/&gt;&lt;wsp:rsid wsp:val=&quot;008C2CFA&quot;/&gt;&lt;wsp:rsid wsp:val=&quot;008C3163&quot;/&gt;&lt;wsp:rsid wsp:val=&quot;008C4477&quot;/&gt;&lt;wsp:rsid wsp:val=&quot;008C6385&quot;/&gt;&lt;wsp:rsid wsp:val=&quot;008D6FF1&quot;/&gt;&lt;wsp:rsid wsp:val=&quot;008E0B61&quot;/&gt;&lt;wsp:rsid wsp:val=&quot;008E15E3&quot;/&gt;&lt;wsp:rsid wsp:val=&quot;008E1B74&quot;/&gt;&lt;wsp:rsid wsp:val=&quot;008E4948&quot;/&gt;&lt;wsp:rsid wsp:val=&quot;008F1727&quot;/&gt;&lt;wsp:rsid wsp:val=&quot;008F2EB0&quot;/&gt;&lt;wsp:rsid wsp:val=&quot;008F4862&quot;/&gt;&lt;wsp:rsid wsp:val=&quot;008F771D&quot;/&gt;&lt;wsp:rsid wsp:val=&quot;00903454&quot;/&gt;&lt;wsp:rsid wsp:val=&quot;0090715B&quot;/&gt;&lt;wsp:rsid wsp:val=&quot;00907DEF&quot;/&gt;&lt;wsp:rsid wsp:val=&quot;00912082&quot;/&gt;&lt;wsp:rsid wsp:val=&quot;0091448A&quot;/&gt;&lt;wsp:rsid wsp:val=&quot;00922A8D&quot;/&gt;&lt;wsp:rsid wsp:val=&quot;00924D6A&quot;/&gt;&lt;wsp:rsid wsp:val=&quot;009337C3&quot;/&gt;&lt;wsp:rsid wsp:val=&quot;009403E4&quot;/&gt;&lt;wsp:rsid wsp:val=&quot;00944F83&quot;/&gt;&lt;wsp:rsid wsp:val=&quot;009453C3&quot;/&gt;&lt;wsp:rsid wsp:val=&quot;00950C72&quot;/&gt;&lt;wsp:rsid wsp:val=&quot;00960C63&quot;/&gt;&lt;wsp:rsid wsp:val=&quot;00961CF8&quot;/&gt;&lt;wsp:rsid wsp:val=&quot;00964C3D&quot;/&gt;&lt;wsp:rsid wsp:val=&quot;00965F11&quot;/&gt;&lt;wsp:rsid wsp:val=&quot;00970121&quot;/&gt;&lt;wsp:rsid wsp:val=&quot;009730FB&quot;/&gt;&lt;wsp:rsid wsp:val=&quot;00973E68&quot;/&gt;&lt;wsp:rsid wsp:val=&quot;00975CA1&quot;/&gt;&lt;wsp:rsid wsp:val=&quot;00981329&quot;/&gt;&lt;wsp:rsid wsp:val=&quot;009821ED&quot;/&gt;&lt;wsp:rsid wsp:val=&quot;009829D6&quot;/&gt;&lt;wsp:rsid wsp:val=&quot;009901CC&quot;/&gt;&lt;wsp:rsid wsp:val=&quot;0099235A&quot;/&gt;&lt;wsp:rsid wsp:val=&quot;009947B0&quot;/&gt;&lt;wsp:rsid wsp:val=&quot;00996FCD&quot;/&gt;&lt;wsp:rsid wsp:val=&quot;00997FEC&quot;/&gt;&lt;wsp:rsid wsp:val=&quot;009A2908&quot;/&gt;&lt;wsp:rsid wsp:val=&quot;009A3ADB&quot;/&gt;&lt;wsp:rsid wsp:val=&quot;009A4294&quot;/&gt;&lt;wsp:rsid wsp:val=&quot;009A649C&quot;/&gt;&lt;wsp:rsid wsp:val=&quot;009A7E5E&quot;/&gt;&lt;wsp:rsid wsp:val=&quot;009B126A&quot;/&gt;&lt;wsp:rsid wsp:val=&quot;009B440C&quot;/&gt;&lt;wsp:rsid wsp:val=&quot;009B6281&quot;/&gt;&lt;wsp:rsid wsp:val=&quot;009C1859&quot;/&gt;&lt;wsp:rsid wsp:val=&quot;009C51AA&quot;/&gt;&lt;wsp:rsid wsp:val=&quot;009D0281&quot;/&gt;&lt;wsp:rsid wsp:val=&quot;009D5B7A&quot;/&gt;&lt;wsp:rsid wsp:val=&quot;009D71C8&quot;/&gt;&lt;wsp:rsid wsp:val=&quot;009E262F&quot;/&gt;&lt;wsp:rsid wsp:val=&quot;009E5418&quot;/&gt;&lt;wsp:rsid wsp:val=&quot;009E6FC7&quot;/&gt;&lt;wsp:rsid wsp:val=&quot;009F0AC3&quot;/&gt;&lt;wsp:rsid wsp:val=&quot;009F4CE8&quot;/&gt;&lt;wsp:rsid wsp:val=&quot;009F7B31&quot;/&gt;&lt;wsp:rsid wsp:val=&quot;00A003A6&quot;/&gt;&lt;wsp:rsid wsp:val=&quot;00A06741&quot;/&gt;&lt;wsp:rsid wsp:val=&quot;00A17AA3&quot;/&gt;&lt;wsp:rsid wsp:val=&quot;00A17EA5&quot;/&gt;&lt;wsp:rsid wsp:val=&quot;00A26186&quot;/&gt;&lt;wsp:rsid wsp:val=&quot;00A26B5C&quot;/&gt;&lt;wsp:rsid wsp:val=&quot;00A270A9&quot;/&gt;&lt;wsp:rsid wsp:val=&quot;00A307BD&quot;/&gt;&lt;wsp:rsid wsp:val=&quot;00A37C2D&quot;/&gt;&lt;wsp:rsid wsp:val=&quot;00A4016D&quot;/&gt;&lt;wsp:rsid wsp:val=&quot;00A445E0&quot;/&gt;&lt;wsp:rsid wsp:val=&quot;00A45490&quot;/&gt;&lt;wsp:rsid wsp:val=&quot;00A45807&quot;/&gt;&lt;wsp:rsid wsp:val=&quot;00A46910&quot;/&gt;&lt;wsp:rsid wsp:val=&quot;00A52B6E&quot;/&gt;&lt;wsp:rsid wsp:val=&quot;00A5368D&quot;/&gt;&lt;wsp:rsid wsp:val=&quot;00A53E8E&quot;/&gt;&lt;wsp:rsid wsp:val=&quot;00A55BEC&quot;/&gt;&lt;wsp:rsid wsp:val=&quot;00A562C0&quot;/&gt;&lt;wsp:rsid wsp:val=&quot;00A567DD&quot;/&gt;&lt;wsp:rsid wsp:val=&quot;00A57290&quot;/&gt;&lt;wsp:rsid wsp:val=&quot;00A578B7&quot;/&gt;&lt;wsp:rsid wsp:val=&quot;00A60517&quot;/&gt;&lt;wsp:rsid wsp:val=&quot;00A60646&quot;/&gt;&lt;wsp:rsid wsp:val=&quot;00A61080&quot;/&gt;&lt;wsp:rsid wsp:val=&quot;00A62A4E&quot;/&gt;&lt;wsp:rsid wsp:val=&quot;00A6545C&quot;/&gt;&lt;wsp:rsid wsp:val=&quot;00A704EC&quot;/&gt;&lt;wsp:rsid wsp:val=&quot;00A71EEA&quot;/&gt;&lt;wsp:rsid wsp:val=&quot;00A7380D&quot;/&gt;&lt;wsp:rsid wsp:val=&quot;00A73FBF&quot;/&gt;&lt;wsp:rsid wsp:val=&quot;00A74196&quot;/&gt;&lt;wsp:rsid wsp:val=&quot;00A81E7D&quot;/&gt;&lt;wsp:rsid wsp:val=&quot;00A8242C&quot;/&gt;&lt;wsp:rsid wsp:val=&quot;00A843E7&quot;/&gt;&lt;wsp:rsid wsp:val=&quot;00A84A81&quot;/&gt;&lt;wsp:rsid wsp:val=&quot;00A91C5A&quot;/&gt;&lt;wsp:rsid wsp:val=&quot;00A9281A&quot;/&gt;&lt;wsp:rsid wsp:val=&quot;00A95DCC&quot;/&gt;&lt;wsp:rsid wsp:val=&quot;00AA075B&quot;/&gt;&lt;wsp:rsid wsp:val=&quot;00AA10F4&quot;/&gt;&lt;wsp:rsid wsp:val=&quot;00AA43DA&quot;/&gt;&lt;wsp:rsid wsp:val=&quot;00AA4D5F&quot;/&gt;&lt;wsp:rsid wsp:val=&quot;00AA4EBB&quot;/&gt;&lt;wsp:rsid wsp:val=&quot;00AB41AF&quot;/&gt;&lt;wsp:rsid wsp:val=&quot;00AC325C&quot;/&gt;&lt;wsp:rsid wsp:val=&quot;00AC3FF0&quot;/&gt;&lt;wsp:rsid wsp:val=&quot;00AC48C9&quot;/&gt;&lt;wsp:rsid wsp:val=&quot;00AD1A4C&quot;/&gt;&lt;wsp:rsid wsp:val=&quot;00AD2109&quot;/&gt;&lt;wsp:rsid wsp:val=&quot;00AD46D9&quot;/&gt;&lt;wsp:rsid wsp:val=&quot;00AE0507&quot;/&gt;&lt;wsp:rsid wsp:val=&quot;00AE68DE&quot;/&gt;&lt;wsp:rsid wsp:val=&quot;00AE73C7&quot;/&gt;&lt;wsp:rsid wsp:val=&quot;00AF1E18&quot;/&gt;&lt;wsp:rsid wsp:val=&quot;00AF2291&quot;/&gt;&lt;wsp:rsid wsp:val=&quot;00AF2D7F&quot;/&gt;&lt;wsp:rsid wsp:val=&quot;00AF3373&quot;/&gt;&lt;wsp:rsid wsp:val=&quot;00AF54CE&quot;/&gt;&lt;wsp:rsid wsp:val=&quot;00AF781C&quot;/&gt;&lt;wsp:rsid wsp:val=&quot;00B01BDE&quot;/&gt;&lt;wsp:rsid wsp:val=&quot;00B13DE5&quot;/&gt;&lt;wsp:rsid wsp:val=&quot;00B155C2&quot;/&gt;&lt;wsp:rsid wsp:val=&quot;00B20254&quot;/&gt;&lt;wsp:rsid wsp:val=&quot;00B20E31&quot;/&gt;&lt;wsp:rsid wsp:val=&quot;00B27257&quot;/&gt;&lt;wsp:rsid wsp:val=&quot;00B277CB&quot;/&gt;&lt;wsp:rsid wsp:val=&quot;00B31EC0&quot;/&gt;&lt;wsp:rsid wsp:val=&quot;00B32590&quot;/&gt;&lt;wsp:rsid wsp:val=&quot;00B32B80&quot;/&gt;&lt;wsp:rsid wsp:val=&quot;00B41EEF&quot;/&gt;&lt;wsp:rsid wsp:val=&quot;00B42523&quot;/&gt;&lt;wsp:rsid wsp:val=&quot;00B505FC&quot;/&gt;&lt;wsp:rsid wsp:val=&quot;00B51D03&quot;/&gt;&lt;wsp:rsid wsp:val=&quot;00B52092&quot;/&gt;&lt;wsp:rsid wsp:val=&quot;00B56E83&quot;/&gt;&lt;wsp:rsid wsp:val=&quot;00B62DEA&quot;/&gt;&lt;wsp:rsid wsp:val=&quot;00B6619D&quot;/&gt;&lt;wsp:rsid wsp:val=&quot;00B6749F&quot;/&gt;&lt;wsp:rsid wsp:val=&quot;00B675D5&quot;/&gt;&lt;wsp:rsid wsp:val=&quot;00B701BE&quot;/&gt;&lt;wsp:rsid wsp:val=&quot;00B719AD&quot;/&gt;&lt;wsp:rsid wsp:val=&quot;00B7366B&quot;/&gt;&lt;wsp:rsid wsp:val=&quot;00B73AA8&quot;/&gt;&lt;wsp:rsid wsp:val=&quot;00B77102&quot;/&gt;&lt;wsp:rsid wsp:val=&quot;00B7736E&quot;/&gt;&lt;wsp:rsid wsp:val=&quot;00B773C4&quot;/&gt;&lt;wsp:rsid wsp:val=&quot;00B803A8&quot;/&gt;&lt;wsp:rsid wsp:val=&quot;00B81A55&quot;/&gt;&lt;wsp:rsid wsp:val=&quot;00B8347D&quot;/&gt;&lt;wsp:rsid wsp:val=&quot;00B9201A&quot;/&gt;&lt;wsp:rsid wsp:val=&quot;00B976BA&quot;/&gt;&lt;wsp:rsid wsp:val=&quot;00BA0CEF&quot;/&gt;&lt;wsp:rsid wsp:val=&quot;00BA2C3E&quot;/&gt;&lt;wsp:rsid wsp:val=&quot;00BA30C8&quot;/&gt;&lt;wsp:rsid wsp:val=&quot;00BA4BFC&quot;/&gt;&lt;wsp:rsid wsp:val=&quot;00BA5238&quot;/&gt;&lt;wsp:rsid wsp:val=&quot;00BA56F8&quot;/&gt;&lt;wsp:rsid wsp:val=&quot;00BB2B87&quot;/&gt;&lt;wsp:rsid wsp:val=&quot;00BB7E2F&quot;/&gt;&lt;wsp:rsid wsp:val=&quot;00BC21A6&quot;/&gt;&lt;wsp:rsid wsp:val=&quot;00BC5F3D&quot;/&gt;&lt;wsp:rsid wsp:val=&quot;00BC7828&quot;/&gt;&lt;wsp:rsid wsp:val=&quot;00BD136F&quot;/&gt;&lt;wsp:rsid wsp:val=&quot;00BD195C&quot;/&gt;&lt;wsp:rsid wsp:val=&quot;00BD1FE1&quot;/&gt;&lt;wsp:rsid wsp:val=&quot;00BD7E1D&quot;/&gt;&lt;wsp:rsid wsp:val=&quot;00BE1B74&quot;/&gt;&lt;wsp:rsid wsp:val=&quot;00BE4896&quot;/&gt;&lt;wsp:rsid wsp:val=&quot;00BE5B67&quot;/&gt;&lt;wsp:rsid wsp:val=&quot;00BE7142&quot;/&gt;&lt;wsp:rsid wsp:val=&quot;00BF0934&quot;/&gt;&lt;wsp:rsid wsp:val=&quot;00BF6F0F&quot;/&gt;&lt;wsp:rsid wsp:val=&quot;00C01CD9&quot;/&gt;&lt;wsp:rsid wsp:val=&quot;00C02495&quot;/&gt;&lt;wsp:rsid wsp:val=&quot;00C02855&quot;/&gt;&lt;wsp:rsid wsp:val=&quot;00C030E3&quot;/&gt;&lt;wsp:rsid wsp:val=&quot;00C123D7&quot;/&gt;&lt;wsp:rsid wsp:val=&quot;00C14DE0&quot;/&gt;&lt;wsp:rsid wsp:val=&quot;00C17309&quot;/&gt;&lt;wsp:rsid wsp:val=&quot;00C20D86&quot;/&gt;&lt;wsp:rsid wsp:val=&quot;00C21914&quot;/&gt;&lt;wsp:rsid wsp:val=&quot;00C26050&quot;/&gt;&lt;wsp:rsid wsp:val=&quot;00C31084&quot;/&gt;&lt;wsp:rsid wsp:val=&quot;00C31E40&quot;/&gt;&lt;wsp:rsid wsp:val=&quot;00C344AC&quot;/&gt;&lt;wsp:rsid wsp:val=&quot;00C361B5&quot;/&gt;&lt;wsp:rsid wsp:val=&quot;00C4048C&quot;/&gt;&lt;wsp:rsid wsp:val=&quot;00C405CE&quot;/&gt;&lt;wsp:rsid wsp:val=&quot;00C41FFE&quot;/&gt;&lt;wsp:rsid wsp:val=&quot;00C42C92&quot;/&gt;&lt;wsp:rsid wsp:val=&quot;00C4787E&quot;/&gt;&lt;wsp:rsid wsp:val=&quot;00C626EC&quot;/&gt;&lt;wsp:rsid wsp:val=&quot;00C637F4&quot;/&gt;&lt;wsp:rsid wsp:val=&quot;00C64391&quot;/&gt;&lt;wsp:rsid wsp:val=&quot;00C66515&quot;/&gt;&lt;wsp:rsid wsp:val=&quot;00C674C3&quot;/&gt;&lt;wsp:rsid wsp:val=&quot;00C67E0A&quot;/&gt;&lt;wsp:rsid wsp:val=&quot;00C717E4&quot;/&gt;&lt;wsp:rsid wsp:val=&quot;00C72E4B&quot;/&gt;&lt;wsp:rsid wsp:val=&quot;00C74DB7&quot;/&gt;&lt;wsp:rsid wsp:val=&quot;00C76526&quot;/&gt;&lt;wsp:rsid wsp:val=&quot;00C86895&quot;/&gt;&lt;wsp:rsid wsp:val=&quot;00C86DA3&quot;/&gt;&lt;wsp:rsid wsp:val=&quot;00C87104&quot;/&gt;&lt;wsp:rsid wsp:val=&quot;00C90122&quot;/&gt;&lt;wsp:rsid wsp:val=&quot;00C91F9C&quot;/&gt;&lt;wsp:rsid wsp:val=&quot;00C9282A&quot;/&gt;&lt;wsp:rsid wsp:val=&quot;00C97ABE&quot;/&gt;&lt;wsp:rsid wsp:val=&quot;00CA28B7&quot;/&gt;&lt;wsp:rsid wsp:val=&quot;00CA4517&quot;/&gt;&lt;wsp:rsid wsp:val=&quot;00CB6430&quot;/&gt;&lt;wsp:rsid wsp:val=&quot;00CB6A2C&quot;/&gt;&lt;wsp:rsid wsp:val=&quot;00CC10A4&quot;/&gt;&lt;wsp:rsid wsp:val=&quot;00CC1499&quot;/&gt;&lt;wsp:rsid wsp:val=&quot;00CC59BD&quot;/&gt;&lt;wsp:rsid wsp:val=&quot;00CC7F0C&quot;/&gt;&lt;wsp:rsid wsp:val=&quot;00CD05CD&quot;/&gt;&lt;wsp:rsid wsp:val=&quot;00CD33CF&quot;/&gt;&lt;wsp:rsid wsp:val=&quot;00CE06E8&quot;/&gt;&lt;wsp:rsid wsp:val=&quot;00CF3255&quot;/&gt;&lt;wsp:rsid wsp:val=&quot;00CF7780&quot;/&gt;&lt;wsp:rsid wsp:val=&quot;00D003FA&quot;/&gt;&lt;wsp:rsid wsp:val=&quot;00D0445B&quot;/&gt;&lt;wsp:rsid wsp:val=&quot;00D0481A&quot;/&gt;&lt;wsp:rsid wsp:val=&quot;00D04ACC&quot;/&gt;&lt;wsp:rsid wsp:val=&quot;00D053C4&quot;/&gt;&lt;wsp:rsid wsp:val=&quot;00D058B9&quot;/&gt;&lt;wsp:rsid wsp:val=&quot;00D1165A&quot;/&gt;&lt;wsp:rsid wsp:val=&quot;00D178C8&quot;/&gt;&lt;wsp:rsid wsp:val=&quot;00D207D5&quot;/&gt;&lt;wsp:rsid wsp:val=&quot;00D225AE&quot;/&gt;&lt;wsp:rsid wsp:val=&quot;00D23DCC&quot;/&gt;&lt;wsp:rsid wsp:val=&quot;00D24F27&quot;/&gt;&lt;wsp:rsid wsp:val=&quot;00D260D4&quot;/&gt;&lt;wsp:rsid wsp:val=&quot;00D34341&quot;/&gt;&lt;wsp:rsid wsp:val=&quot;00D41D28&quot;/&gt;&lt;wsp:rsid wsp:val=&quot;00D50C6F&quot;/&gt;&lt;wsp:rsid wsp:val=&quot;00D555E0&quot;/&gt;&lt;wsp:rsid wsp:val=&quot;00D6567C&quot;/&gt;&lt;wsp:rsid wsp:val=&quot;00D77018&quot;/&gt;&lt;wsp:rsid wsp:val=&quot;00D817FE&quot;/&gt;&lt;wsp:rsid wsp:val=&quot;00D81973&quot;/&gt;&lt;wsp:rsid wsp:val=&quot;00D828A2&quot;/&gt;&lt;wsp:rsid wsp:val=&quot;00D8420F&quot;/&gt;&lt;wsp:rsid wsp:val=&quot;00D84FC8&quot;/&gt;&lt;wsp:rsid wsp:val=&quot;00D86778&quot;/&gt;&lt;wsp:rsid wsp:val=&quot;00D87D37&quot;/&gt;&lt;wsp:rsid wsp:val=&quot;00DB216C&quot;/&gt;&lt;wsp:rsid wsp:val=&quot;00DB4725&quot;/&gt;&lt;wsp:rsid wsp:val=&quot;00DB735A&quot;/&gt;&lt;wsp:rsid wsp:val=&quot;00DC126F&quot;/&gt;&lt;wsp:rsid wsp:val=&quot;00DC3188&quot;/&gt;&lt;wsp:rsid wsp:val=&quot;00DC42D3&quot;/&gt;&lt;wsp:rsid wsp:val=&quot;00DC48CD&quot;/&gt;&lt;wsp:rsid wsp:val=&quot;00DC6D85&quot;/&gt;&lt;wsp:rsid wsp:val=&quot;00DD0FE3&quot;/&gt;&lt;wsp:rsid wsp:val=&quot;00DD424D&quot;/&gt;&lt;wsp:rsid wsp:val=&quot;00DE02BC&quot;/&gt;&lt;wsp:rsid wsp:val=&quot;00DE19AE&quot;/&gt;&lt;wsp:rsid wsp:val=&quot;00DE564D&quot;/&gt;&lt;wsp:rsid wsp:val=&quot;00DE6150&quot;/&gt;&lt;wsp:rsid wsp:val=&quot;00DF0F9A&quot;/&gt;&lt;wsp:rsid wsp:val=&quot;00DF5482&quot;/&gt;&lt;wsp:rsid wsp:val=&quot;00E00225&quot;/&gt;&lt;wsp:rsid wsp:val=&quot;00E01598&quot;/&gt;&lt;wsp:rsid wsp:val=&quot;00E020C2&quot;/&gt;&lt;wsp:rsid wsp:val=&quot;00E03F8C&quot;/&gt;&lt;wsp:rsid wsp:val=&quot;00E0581C&quot;/&gt;&lt;wsp:rsid wsp:val=&quot;00E115D6&quot;/&gt;&lt;wsp:rsid wsp:val=&quot;00E134B9&quot;/&gt;&lt;wsp:rsid wsp:val=&quot;00E140EC&quot;/&gt;&lt;wsp:rsid wsp:val=&quot;00E14119&quot;/&gt;&lt;wsp:rsid wsp:val=&quot;00E15C0B&quot;/&gt;&lt;wsp:rsid wsp:val=&quot;00E16191&quot;/&gt;&lt;wsp:rsid wsp:val=&quot;00E16DC7&quot;/&gt;&lt;wsp:rsid wsp:val=&quot;00E20C77&quot;/&gt;&lt;wsp:rsid wsp:val=&quot;00E212D8&quot;/&gt;&lt;wsp:rsid wsp:val=&quot;00E25471&quot;/&gt;&lt;wsp:rsid wsp:val=&quot;00E272C7&quot;/&gt;&lt;wsp:rsid wsp:val=&quot;00E27A5B&quot;/&gt;&lt;wsp:rsid wsp:val=&quot;00E3291F&quot;/&gt;&lt;wsp:rsid wsp:val=&quot;00E32D3A&quot;/&gt;&lt;wsp:rsid wsp:val=&quot;00E3403E&quot;/&gt;&lt;wsp:rsid wsp:val=&quot;00E36550&quot;/&gt;&lt;wsp:rsid wsp:val=&quot;00E36ABD&quot;/&gt;&lt;wsp:rsid wsp:val=&quot;00E418E7&quot;/&gt;&lt;wsp:rsid wsp:val=&quot;00E41CD4&quot;/&gt;&lt;wsp:rsid wsp:val=&quot;00E43C03&quot;/&gt;&lt;wsp:rsid wsp:val=&quot;00E45E8E&quot;/&gt;&lt;wsp:rsid wsp:val=&quot;00E521BF&quot;/&gt;&lt;wsp:rsid wsp:val=&quot;00E5476F&quot;/&gt;&lt;wsp:rsid wsp:val=&quot;00E55A36&quot;/&gt;&lt;wsp:rsid wsp:val=&quot;00E55E75&quot;/&gt;&lt;wsp:rsid wsp:val=&quot;00E61F3B&quot;/&gt;&lt;wsp:rsid wsp:val=&quot;00E62185&quot;/&gt;&lt;wsp:rsid wsp:val=&quot;00E64AB4&quot;/&gt;&lt;wsp:rsid wsp:val=&quot;00E64CA2&quot;/&gt;&lt;wsp:rsid wsp:val=&quot;00E7152A&quot;/&gt;&lt;wsp:rsid wsp:val=&quot;00E75013&quot;/&gt;&lt;wsp:rsid wsp:val=&quot;00E808C3&quot;/&gt;&lt;wsp:rsid wsp:val=&quot;00E90408&quot;/&gt;&lt;wsp:rsid wsp:val=&quot;00E93D78&quot;/&gt;&lt;wsp:rsid wsp:val=&quot;00E97524&quot;/&gt;&lt;wsp:rsid wsp:val=&quot;00E97FBF&quot;/&gt;&lt;wsp:rsid wsp:val=&quot;00EA6134&quot;/&gt;&lt;wsp:rsid wsp:val=&quot;00EA72F2&quot;/&gt;&lt;wsp:rsid wsp:val=&quot;00EA76D2&quot;/&gt;&lt;wsp:rsid wsp:val=&quot;00EB002B&quot;/&gt;&lt;wsp:rsid wsp:val=&quot;00EB2749&quot;/&gt;&lt;wsp:rsid wsp:val=&quot;00EB43D7&quot;/&gt;&lt;wsp:rsid wsp:val=&quot;00EB5091&quot;/&gt;&lt;wsp:rsid wsp:val=&quot;00EC09B4&quot;/&gt;&lt;wsp:rsid wsp:val=&quot;00EC2AE5&quot;/&gt;&lt;wsp:rsid wsp:val=&quot;00EC592D&quot;/&gt;&lt;wsp:rsid wsp:val=&quot;00EC70DA&quot;/&gt;&lt;wsp:rsid wsp:val=&quot;00ED1099&quot;/&gt;&lt;wsp:rsid wsp:val=&quot;00EE0FE6&quot;/&gt;&lt;wsp:rsid wsp:val=&quot;00EE1C11&quot;/&gt;&lt;wsp:rsid wsp:val=&quot;00EE336D&quot;/&gt;&lt;wsp:rsid wsp:val=&quot;00EE35DC&quot;/&gt;&lt;wsp:rsid wsp:val=&quot;00EE5D08&quot;/&gt;&lt;wsp:rsid wsp:val=&quot;00EE7928&quot;/&gt;&lt;wsp:rsid wsp:val=&quot;00EF020D&quot;/&gt;&lt;wsp:rsid wsp:val=&quot;00EF11C7&quot;/&gt;&lt;wsp:rsid wsp:val=&quot;00EF313A&quot;/&gt;&lt;wsp:rsid wsp:val=&quot;00F02D74&quot;/&gt;&lt;wsp:rsid wsp:val=&quot;00F02FDC&quot;/&gt;&lt;wsp:rsid wsp:val=&quot;00F07A87&quot;/&gt;&lt;wsp:rsid wsp:val=&quot;00F105E7&quot;/&gt;&lt;wsp:rsid wsp:val=&quot;00F117AF&quot;/&gt;&lt;wsp:rsid wsp:val=&quot;00F14F92&quot;/&gt;&lt;wsp:rsid wsp:val=&quot;00F167F5&quot;/&gt;&lt;wsp:rsid wsp:val=&quot;00F20A51&quot;/&gt;&lt;wsp:rsid wsp:val=&quot;00F23CD6&quot;/&gt;&lt;wsp:rsid wsp:val=&quot;00F26DFB&quot;/&gt;&lt;wsp:rsid wsp:val=&quot;00F26E45&quot;/&gt;&lt;wsp:rsid wsp:val=&quot;00F301E1&quot;/&gt;&lt;wsp:rsid wsp:val=&quot;00F3415B&quot;/&gt;&lt;wsp:rsid wsp:val=&quot;00F36B66&quot;/&gt;&lt;wsp:rsid wsp:val=&quot;00F36BF2&quot;/&gt;&lt;wsp:rsid wsp:val=&quot;00F370CF&quot;/&gt;&lt;wsp:rsid wsp:val=&quot;00F41B6C&quot;/&gt;&lt;wsp:rsid wsp:val=&quot;00F4263F&quot;/&gt;&lt;wsp:rsid wsp:val=&quot;00F44D70&quot;/&gt;&lt;wsp:rsid wsp:val=&quot;00F5186A&quot;/&gt;&lt;wsp:rsid wsp:val=&quot;00F60458&quot;/&gt;&lt;wsp:rsid wsp:val=&quot;00F62846&quot;/&gt;&lt;wsp:rsid wsp:val=&quot;00F6427D&quot;/&gt;&lt;wsp:rsid wsp:val=&quot;00F77219&quot;/&gt;&lt;wsp:rsid wsp:val=&quot;00F8017B&quot;/&gt;&lt;wsp:rsid wsp:val=&quot;00F84419&quot;/&gt;&lt;wsp:rsid wsp:val=&quot;00F900F9&quot;/&gt;&lt;wsp:rsid wsp:val=&quot;00F90FB5&quot;/&gt;&lt;wsp:rsid wsp:val=&quot;00F923A0&quot;/&gt;&lt;wsp:rsid wsp:val=&quot;00F929EE&quot;/&gt;&lt;wsp:rsid wsp:val=&quot;00F965DC&quot;/&gt;&lt;wsp:rsid wsp:val=&quot;00FA3BE7&quot;/&gt;&lt;wsp:rsid wsp:val=&quot;00FA445A&quot;/&gt;&lt;wsp:rsid wsp:val=&quot;00FA4D4D&quot;/&gt;&lt;wsp:rsid wsp:val=&quot;00FA5EAC&quot;/&gt;&lt;wsp:rsid wsp:val=&quot;00FA6281&quot;/&gt;&lt;wsp:rsid wsp:val=&quot;00FA7504&quot;/&gt;&lt;wsp:rsid wsp:val=&quot;00FB1C3C&quot;/&gt;&lt;wsp:rsid wsp:val=&quot;00FB28E5&quot;/&gt;&lt;wsp:rsid wsp:val=&quot;00FB3908&quot;/&gt;&lt;wsp:rsid wsp:val=&quot;00FB4895&quot;/&gt;&lt;wsp:rsid wsp:val=&quot;00FB5314&quot;/&gt;&lt;wsp:rsid wsp:val=&quot;00FB5FA2&quot;/&gt;&lt;wsp:rsid wsp:val=&quot;00FC071B&quot;/&gt;&lt;wsp:rsid wsp:val=&quot;00FC222A&quot;/&gt;&lt;wsp:rsid wsp:val=&quot;00FC2F91&quot;/&gt;&lt;wsp:rsid wsp:val=&quot;00FC3E3F&quot;/&gt;&lt;wsp:rsid wsp:val=&quot;00FC6F6A&quot;/&gt;&lt;wsp:rsid wsp:val=&quot;00FC7BD7&quot;/&gt;&lt;wsp:rsid wsp:val=&quot;00FD200F&quot;/&gt;&lt;wsp:rsid wsp:val=&quot;00FD3CFA&quot;/&gt;&lt;wsp:rsid wsp:val=&quot;00FD535F&quot;/&gt;&lt;wsp:rsid wsp:val=&quot;00FE3181&quot;/&gt;&lt;wsp:rsid wsp:val=&quot;00FF04BF&quot;/&gt;&lt;wsp:rsid wsp:val=&quot;00FF1E4F&quot;/&gt;&lt;wsp:rsid wsp:val=&quot;00FF3D3A&quot;/&gt;&lt;wsp:rsid wsp:val=&quot;00FF4348&quot;/&gt;&lt;wsp:rsid wsp:val=&quot;00FF6678&quot;/&gt;&lt;/wsp:rsids&gt;&lt;/w:docPr&gt;&lt;w:body&gt;&lt;w:p wsp:rsidR=&quot;00000000&quot; wsp:rsidRDefault=&quot;008C6385&quot;&gt;&lt;m:oMathPara&gt;&lt;m:oMath&gt;&lt;m:r&gt;&lt;m:rPr&gt;&lt;m:sty m:val=&quot;p&quot;/&gt;&lt;/m:rPr&gt;&lt;w:rPr&gt;&lt;w:rFonts w:ascii=&quot;Cambria Math&quot; w:h-ansi=&quot;Cambria Math&quot; w:cs=&quot;Arial&quot;/&gt;&lt;wx:font wx:val=&quot;Cambria Math&quot;/&gt;&lt;w:sz w:val=&quot;22&quot;/&gt;&lt;w:sz-cs w:val=&quot;22&quot;/&gt;&lt;/w:rPr&gt;&lt;m:t&gt;Î²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250808">
        <w:rPr>
          <w:rFonts w:ascii="Arial" w:hAnsi="Arial" w:cs="Arial"/>
          <w:sz w:val="22"/>
          <w:szCs w:val="22"/>
        </w:rPr>
        <w:fldChar w:fldCharType="end"/>
      </w:r>
      <w:r w:rsidRPr="00CF7780">
        <w:rPr>
          <w:rFonts w:ascii="Arial" w:hAnsi="Arial" w:cs="Arial"/>
          <w:sz w:val="22"/>
          <w:szCs w:val="22"/>
        </w:rPr>
        <w:t>de la Ecuación 1)</w:t>
      </w:r>
      <w:r w:rsidRPr="00CF7780">
        <w:rPr>
          <w:rStyle w:val="FootnoteReference"/>
          <w:rFonts w:ascii="Arial" w:hAnsi="Arial" w:cs="Arial"/>
          <w:sz w:val="22"/>
          <w:szCs w:val="22"/>
        </w:rPr>
        <w:t xml:space="preserve"> </w:t>
      </w:r>
      <w:r w:rsidRPr="00CF7780">
        <w:rPr>
          <w:rFonts w:ascii="Arial" w:hAnsi="Arial" w:cs="Arial"/>
          <w:sz w:val="22"/>
          <w:szCs w:val="22"/>
        </w:rPr>
        <w:t xml:space="preserve">de 3.6% por año para la Columna 1, y de 3.3% por año para la Columna 3. </w:t>
      </w:r>
    </w:p>
    <w:p w:rsidR="00E656CC" w:rsidRPr="00CF7780" w:rsidRDefault="00E656CC" w:rsidP="002E7300">
      <w:pPr>
        <w:spacing w:before="100" w:beforeAutospacing="1" w:after="100" w:afterAutospacing="1"/>
        <w:ind w:firstLine="851"/>
        <w:jc w:val="both"/>
        <w:rPr>
          <w:rFonts w:ascii="Arial" w:hAnsi="Arial" w:cs="Arial"/>
          <w:sz w:val="22"/>
          <w:szCs w:val="22"/>
        </w:rPr>
      </w:pPr>
      <w:r w:rsidRPr="00CF7780">
        <w:rPr>
          <w:rFonts w:ascii="Arial" w:hAnsi="Arial"/>
          <w:b/>
          <w:sz w:val="22"/>
        </w:rPr>
        <w:t>El principal punto del análisis se centra en los determinantes del crecimiento</w:t>
      </w:r>
      <w:r w:rsidRPr="00CF7780">
        <w:rPr>
          <w:rFonts w:ascii="Arial" w:hAnsi="Arial" w:cs="Arial"/>
          <w:sz w:val="22"/>
          <w:szCs w:val="22"/>
        </w:rPr>
        <w:t xml:space="preserve">. Es decir, cuáles son las variables que permiten explicar las diferencias en la </w:t>
      </w:r>
      <w:r w:rsidRPr="00CF7780">
        <w:rPr>
          <w:rFonts w:ascii="Arial" w:hAnsi="Arial" w:cs="Arial"/>
          <w:i/>
          <w:sz w:val="22"/>
          <w:szCs w:val="22"/>
        </w:rPr>
        <w:t>performance</w:t>
      </w:r>
      <w:r w:rsidRPr="00CF7780">
        <w:rPr>
          <w:rFonts w:ascii="Arial" w:hAnsi="Arial" w:cs="Arial"/>
          <w:sz w:val="22"/>
          <w:szCs w:val="22"/>
        </w:rPr>
        <w:t xml:space="preserve"> de largo plazo de las economías provinciales. A continuación, se analizan las variables que resultan relevantes para definir el estado estacionario en el periodo estudiado para las provincias argentinas.</w:t>
      </w:r>
    </w:p>
    <w:p w:rsidR="00E656CC" w:rsidRPr="00CF7780" w:rsidRDefault="00E656CC" w:rsidP="002E7300">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 xml:space="preserve">Las variables empleadas como proxy del capital humano merecen especial atención puesto que señalan que el mismo es un factor que deriva en un mayor crecimiento económico. Esto se debe a que, tanto un aumento en la escolarización como una mejora en la salud resultan en un mayor crecimiento económico. </w:t>
      </w:r>
    </w:p>
    <w:p w:rsidR="00E656CC" w:rsidRPr="00CF7780" w:rsidRDefault="00E656CC" w:rsidP="002E7300">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 xml:space="preserve">Las Columnas 1 y 3 de la Tabla 2 muestran el efecto positivo y significativo que tiene una mayor tasa de matriculación escolar en los niveles secundario (l5.tmatric_sec) y superior -superior no universitario (l5.t_matric_snu) y universitario (l5.t_matric_u)- sobre la tasa de crecimiento económico. El coeficiente estimado implica que el incremento en la tasa de matriculación (proporción de matriculados sobre la población en edad escolar de referencia) eleva la tasa de crecimiento un 16.3% y 11.7% por año para la educación secundaria y superior no universitaria respectivamente, en tanto que lo eleva en un 8.3% y un 14.1 % en el caso de la educación secundaria y la educación universitaria. Una posible interpretación de este efecto es que la mano de obra educada a nivel secundario y superior facilita la absorción de tecnologías más avanzadas – y éstas probablemente sean complementarias a la mano de obra educada a estos niveles más avanzados. Sin embargo, no se encuentra evidencia clara respecto al vínculo entre la tasa de matriculación en educación primaria (l5.tmatric_prim) y el crecimiento económico. Este resultado puede interpretarse en línea con lo obtenido por Barro (2013) a nivel de países. Sin embargo, es importante tener en cuenta que la educación primaria es un requisito imprescindible para asistir a niveles educativos superiores. </w:t>
      </w:r>
    </w:p>
    <w:p w:rsidR="00E656CC" w:rsidRPr="00CF7780" w:rsidRDefault="00E656CC" w:rsidP="002E7300">
      <w:pPr>
        <w:spacing w:before="100" w:beforeAutospacing="1" w:after="100" w:afterAutospacing="1"/>
        <w:ind w:firstLine="851"/>
        <w:jc w:val="both"/>
        <w:rPr>
          <w:rFonts w:ascii="Arial" w:hAnsi="Arial" w:cs="Arial"/>
          <w:sz w:val="22"/>
          <w:szCs w:val="22"/>
          <w:lang w:val="es-AR"/>
        </w:rPr>
      </w:pPr>
      <w:r w:rsidRPr="00CF7780">
        <w:rPr>
          <w:rFonts w:ascii="Arial" w:hAnsi="Arial" w:cs="Arial"/>
          <w:sz w:val="22"/>
          <w:szCs w:val="22"/>
          <w:lang w:val="es-AR"/>
        </w:rPr>
        <w:t>A pesar de existir antecedentes bibliográficos respecto a la importancia de la educación medida como stock, las estimaciones realizadas no han resultado significativas en sus coeficientes y, por lo tanto, no se incluyen en el presente trabajo</w:t>
      </w:r>
      <w:r w:rsidRPr="00CF7780">
        <w:rPr>
          <w:rStyle w:val="FootnoteReference"/>
          <w:rFonts w:ascii="Arial" w:hAnsi="Arial"/>
          <w:sz w:val="22"/>
          <w:szCs w:val="22"/>
          <w:lang w:val="es-AR"/>
        </w:rPr>
        <w:footnoteReference w:id="5"/>
      </w:r>
      <w:r w:rsidRPr="00CF7780">
        <w:rPr>
          <w:rFonts w:ascii="Arial" w:hAnsi="Arial" w:cs="Arial"/>
          <w:sz w:val="22"/>
          <w:szCs w:val="22"/>
          <w:lang w:val="es-AR"/>
        </w:rPr>
        <w:t xml:space="preserve">. </w:t>
      </w:r>
    </w:p>
    <w:p w:rsidR="00E656CC" w:rsidRPr="00CF7780" w:rsidRDefault="00E656CC" w:rsidP="00EE7928">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 xml:space="preserve">En la Tabla 2, se observa que una disminución en la tasa bruta de mortalidad (l5.mort) resulta en un mayor crecimiento económico debido a la mejora en el capital humano, el coeficiente asociado es negativo y significativo. </w:t>
      </w:r>
    </w:p>
    <w:p w:rsidR="00E656CC" w:rsidRPr="00CF7780" w:rsidRDefault="00E656CC" w:rsidP="00EE7928">
      <w:pPr>
        <w:spacing w:before="100" w:beforeAutospacing="1" w:after="100" w:afterAutospacing="1"/>
        <w:ind w:firstLine="708"/>
        <w:jc w:val="both"/>
        <w:rPr>
          <w:rFonts w:ascii="Arial" w:hAnsi="Arial" w:cs="Arial"/>
          <w:sz w:val="22"/>
          <w:szCs w:val="22"/>
        </w:rPr>
      </w:pPr>
      <w:r w:rsidRPr="00CF7780">
        <w:rPr>
          <w:rFonts w:ascii="Arial" w:hAnsi="Arial" w:cs="Arial"/>
          <w:sz w:val="22"/>
          <w:szCs w:val="22"/>
        </w:rPr>
        <w:t xml:space="preserve">La tasa de fertilidad (l5.fert) no resulta significativa en ninguna de las especificaciones realizadas. Una explicación podría ser que la variabilidad en la misma no refleje completamente los costos asociados al tiempo de tener y criar hijos - información que sólo está disponible para el año 2013. </w:t>
      </w:r>
    </w:p>
    <w:p w:rsidR="00E656CC" w:rsidRPr="00CF7780" w:rsidRDefault="00E656CC" w:rsidP="00A270A9">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 xml:space="preserve">El coeficiente asociado a la variable que se emplea como </w:t>
      </w:r>
      <w:r w:rsidRPr="00CF7780">
        <w:rPr>
          <w:rFonts w:ascii="Arial" w:hAnsi="Arial" w:cs="Arial"/>
          <w:i/>
          <w:sz w:val="22"/>
          <w:szCs w:val="22"/>
        </w:rPr>
        <w:t>proxy</w:t>
      </w:r>
      <w:r w:rsidRPr="00CF7780">
        <w:rPr>
          <w:rFonts w:ascii="Arial" w:hAnsi="Arial" w:cs="Arial"/>
          <w:sz w:val="22"/>
          <w:szCs w:val="22"/>
        </w:rPr>
        <w:t xml:space="preserve"> de la propensión a invertir de cada provincia (l5.gd5_pbg) indica que la misma influye positivamente en la tasa de crecimiento, por lo que, una mayor propensión a invertir redunda en un mayor crecimiento económico. </w:t>
      </w:r>
    </w:p>
    <w:p w:rsidR="00E656CC" w:rsidRPr="00CF7780" w:rsidRDefault="00E656CC" w:rsidP="002E7300">
      <w:pPr>
        <w:spacing w:before="100" w:beforeAutospacing="1" w:after="100" w:afterAutospacing="1"/>
        <w:ind w:firstLine="851"/>
        <w:jc w:val="both"/>
        <w:rPr>
          <w:rFonts w:ascii="Arial" w:hAnsi="Arial" w:cs="Arial"/>
          <w:sz w:val="22"/>
          <w:szCs w:val="22"/>
          <w:lang w:val="es-AR"/>
        </w:rPr>
      </w:pPr>
      <w:r w:rsidRPr="00CF7780">
        <w:rPr>
          <w:rFonts w:ascii="Arial" w:hAnsi="Arial" w:cs="Arial"/>
          <w:sz w:val="22"/>
          <w:szCs w:val="22"/>
        </w:rPr>
        <w:t xml:space="preserve">El indicador de performance fiscal -déficit fiscal en relación al gasto total (l5.dFiscal_GT), es positivo pero no significativo con esta metodología, mostraría que las políticas fiscales expansivas tienen efecto sobre el crecimiento económico. Merece la pena destacar que tanto las variables </w:t>
      </w:r>
      <w:r w:rsidRPr="00CF7780">
        <w:rPr>
          <w:rFonts w:ascii="Arial" w:hAnsi="Arial" w:cs="Arial"/>
          <w:i/>
          <w:sz w:val="22"/>
          <w:szCs w:val="22"/>
        </w:rPr>
        <w:t>proporción de recursos tributarios propios con respecto al ingreso total</w:t>
      </w:r>
      <w:r w:rsidRPr="00CF7780">
        <w:rPr>
          <w:rFonts w:ascii="Arial" w:hAnsi="Arial" w:cs="Arial"/>
          <w:sz w:val="22"/>
          <w:szCs w:val="22"/>
        </w:rPr>
        <w:t xml:space="preserve"> (l5.ITPropios_ITTotales) como </w:t>
      </w:r>
      <w:r w:rsidRPr="00CF7780">
        <w:rPr>
          <w:rFonts w:ascii="Arial" w:hAnsi="Arial" w:cs="Arial"/>
          <w:i/>
          <w:sz w:val="22"/>
          <w:szCs w:val="22"/>
        </w:rPr>
        <w:t>proporción del gasto en personal en el gasto primario</w:t>
      </w:r>
      <w:r w:rsidRPr="00CF7780">
        <w:rPr>
          <w:rFonts w:ascii="Arial" w:hAnsi="Arial" w:cs="Arial"/>
          <w:sz w:val="22"/>
          <w:szCs w:val="22"/>
        </w:rPr>
        <w:t xml:space="preserve"> de la provincia (l5.Gpers_Gprim) no resultan significativas en ninguno de los modelo estimados y, por ende, no fueron incluidas en el análisis.</w:t>
      </w:r>
    </w:p>
    <w:p w:rsidR="00E656CC" w:rsidRPr="00CF7780" w:rsidRDefault="00E656CC" w:rsidP="002E7300">
      <w:pPr>
        <w:pStyle w:val="Subtitle"/>
        <w:spacing w:before="100" w:beforeAutospacing="1" w:after="100" w:afterAutospacing="1"/>
        <w:rPr>
          <w:rFonts w:ascii="Arial" w:hAnsi="Arial" w:cs="Arial"/>
          <w:iCs w:val="0"/>
          <w:color w:val="auto"/>
          <w:spacing w:val="0"/>
          <w:sz w:val="22"/>
          <w:szCs w:val="22"/>
        </w:rPr>
      </w:pPr>
      <w:r w:rsidRPr="00CF7780">
        <w:rPr>
          <w:rFonts w:ascii="Arial" w:hAnsi="Arial" w:cs="Arial"/>
          <w:iCs w:val="0"/>
          <w:color w:val="auto"/>
          <w:spacing w:val="0"/>
          <w:sz w:val="22"/>
          <w:szCs w:val="22"/>
        </w:rPr>
        <w:t>Variables instrumentales</w:t>
      </w:r>
    </w:p>
    <w:p w:rsidR="00E656CC" w:rsidRDefault="00E656CC" w:rsidP="00292C6E">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 xml:space="preserve">Existen problemas metodológicos que surgen típicamente en estudios empíricos de crecimiento. El primero, es la probable endogeneidad en las regresiones de crecimiento que surge del efecto de la presencia de mayores ingresos sobre el nivel de demanda educativa. El segundo problema es la falta de independencia de la educación frente a otras fuentes de crecimiento. Como se mencionó, los cambios en los insumos de capital, pueden ser vistos como determinados de manera conjunta con el crecimiento económico, por ejemplo, por la influencia de las variables de política y las características regionales sobre los valores iniciales de las variables de estado, tanto humano como físico. </w:t>
      </w:r>
    </w:p>
    <w:p w:rsidR="00E656CC" w:rsidRPr="00CF7780" w:rsidRDefault="00E656CC" w:rsidP="00F20A51">
      <w:pPr>
        <w:spacing w:before="120" w:after="120"/>
        <w:jc w:val="center"/>
        <w:rPr>
          <w:rFonts w:ascii="Arial" w:hAnsi="Arial" w:cs="Arial"/>
          <w:b/>
          <w:kern w:val="24"/>
          <w:sz w:val="22"/>
          <w:szCs w:val="22"/>
          <w:lang w:val="es-AR"/>
        </w:rPr>
      </w:pPr>
      <w:r w:rsidRPr="00CF7780">
        <w:rPr>
          <w:rFonts w:ascii="Arial" w:hAnsi="Arial" w:cs="Arial"/>
          <w:b/>
          <w:kern w:val="24"/>
          <w:sz w:val="22"/>
          <w:szCs w:val="22"/>
        </w:rPr>
        <w:t>Tabla 2. Estimación del modelo de crecimiento</w:t>
      </w:r>
    </w:p>
    <w:tbl>
      <w:tblPr>
        <w:tblW w:w="9147" w:type="dxa"/>
        <w:tblBorders>
          <w:top w:val="single" w:sz="8" w:space="0" w:color="4F81BD"/>
          <w:bottom w:val="single" w:sz="8" w:space="0" w:color="4F81BD"/>
        </w:tblBorders>
        <w:tblLook w:val="00A0"/>
      </w:tblPr>
      <w:tblGrid>
        <w:gridCol w:w="1891"/>
        <w:gridCol w:w="1814"/>
        <w:gridCol w:w="1814"/>
        <w:gridCol w:w="1814"/>
        <w:gridCol w:w="1814"/>
      </w:tblGrid>
      <w:tr w:rsidR="00E656CC" w:rsidRPr="00CF7780" w:rsidTr="007214AF">
        <w:trPr>
          <w:trHeight w:val="301"/>
        </w:trPr>
        <w:tc>
          <w:tcPr>
            <w:tcW w:w="1891" w:type="dxa"/>
            <w:tcBorders>
              <w:top w:val="single" w:sz="8" w:space="0" w:color="4F81BD"/>
              <w:left w:val="nil"/>
              <w:bottom w:val="nil"/>
              <w:right w:val="nil"/>
            </w:tcBorders>
            <w:noWrap/>
            <w:vAlign w:val="center"/>
          </w:tcPr>
          <w:p w:rsidR="00E656CC" w:rsidRPr="00CF7780" w:rsidRDefault="00E656CC" w:rsidP="00250808">
            <w:pPr>
              <w:spacing w:beforeLines="20" w:afterLines="20"/>
              <w:jc w:val="center"/>
              <w:rPr>
                <w:rFonts w:ascii="Arial" w:hAnsi="Arial" w:cs="Arial"/>
                <w:b/>
                <w:bCs/>
                <w:sz w:val="18"/>
                <w:szCs w:val="18"/>
                <w:lang w:val="es-AR" w:eastAsia="es-AR"/>
              </w:rPr>
            </w:pPr>
          </w:p>
        </w:tc>
        <w:tc>
          <w:tcPr>
            <w:tcW w:w="1814" w:type="dxa"/>
            <w:tcBorders>
              <w:top w:val="single" w:sz="8" w:space="0" w:color="4F81BD"/>
              <w:left w:val="nil"/>
              <w:bottom w:val="nil"/>
              <w:right w:val="nil"/>
            </w:tcBorders>
            <w:vAlign w:val="center"/>
          </w:tcPr>
          <w:p w:rsidR="00E656CC" w:rsidRPr="00CF7780" w:rsidRDefault="00E656CC" w:rsidP="00250808">
            <w:pPr>
              <w:spacing w:beforeLines="20" w:afterLines="20"/>
              <w:jc w:val="center"/>
              <w:rPr>
                <w:rFonts w:ascii="Arial" w:hAnsi="Arial" w:cs="Arial"/>
                <w:b/>
                <w:bCs/>
                <w:sz w:val="18"/>
                <w:szCs w:val="18"/>
                <w:lang w:val="en-US" w:eastAsia="es-AR"/>
              </w:rPr>
            </w:pPr>
            <w:r w:rsidRPr="00CF7780">
              <w:rPr>
                <w:rFonts w:ascii="Arial" w:hAnsi="Arial" w:cs="Arial"/>
                <w:b/>
                <w:bCs/>
                <w:sz w:val="18"/>
                <w:szCs w:val="18"/>
                <w:lang w:val="en-US" w:eastAsia="es-AR"/>
              </w:rPr>
              <w:t>Estimación EF</w:t>
            </w:r>
          </w:p>
          <w:p w:rsidR="00E656CC" w:rsidRPr="00CF7780" w:rsidRDefault="00E656CC" w:rsidP="00250808">
            <w:pPr>
              <w:spacing w:beforeLines="20" w:afterLines="20"/>
              <w:jc w:val="center"/>
              <w:rPr>
                <w:rFonts w:ascii="Arial" w:hAnsi="Arial" w:cs="Arial"/>
                <w:b/>
                <w:bCs/>
                <w:sz w:val="18"/>
                <w:szCs w:val="18"/>
                <w:lang w:val="en-US" w:eastAsia="es-AR"/>
              </w:rPr>
            </w:pPr>
            <w:r w:rsidRPr="00CF7780">
              <w:rPr>
                <w:rFonts w:ascii="Arial" w:hAnsi="Arial" w:cs="Arial"/>
                <w:sz w:val="18"/>
                <w:szCs w:val="18"/>
                <w:lang w:val="en-US" w:eastAsia="es-AR"/>
              </w:rPr>
              <w:t>(</w:t>
            </w:r>
            <w:r w:rsidRPr="00CF7780">
              <w:rPr>
                <w:rFonts w:ascii="Arial" w:hAnsi="Arial" w:cs="Arial"/>
                <w:b/>
                <w:bCs/>
                <w:sz w:val="18"/>
                <w:szCs w:val="18"/>
                <w:lang w:val="en-US" w:eastAsia="es-AR"/>
              </w:rPr>
              <w:t xml:space="preserve">Driscoll Kraay </w:t>
            </w:r>
            <w:bookmarkStart w:id="0" w:name="_GoBack"/>
            <w:r w:rsidRPr="00CF7780">
              <w:rPr>
                <w:rFonts w:ascii="Arial" w:hAnsi="Arial" w:cs="Arial"/>
                <w:b/>
                <w:bCs/>
                <w:sz w:val="18"/>
                <w:szCs w:val="18"/>
                <w:lang w:val="en-US" w:eastAsia="es-AR"/>
              </w:rPr>
              <w:t>Std.Err</w:t>
            </w:r>
            <w:bookmarkEnd w:id="0"/>
            <w:r w:rsidRPr="00CF7780">
              <w:rPr>
                <w:rFonts w:ascii="Arial" w:hAnsi="Arial" w:cs="Arial"/>
                <w:b/>
                <w:bCs/>
                <w:sz w:val="18"/>
                <w:szCs w:val="18"/>
                <w:lang w:val="en-US" w:eastAsia="es-AR"/>
              </w:rPr>
              <w:t>.</w:t>
            </w:r>
            <w:r w:rsidRPr="00CF7780">
              <w:rPr>
                <w:rFonts w:ascii="Arial" w:hAnsi="Arial" w:cs="Arial"/>
                <w:sz w:val="18"/>
                <w:szCs w:val="18"/>
                <w:lang w:val="en-US" w:eastAsia="es-AR"/>
              </w:rPr>
              <w:t>)</w:t>
            </w:r>
          </w:p>
        </w:tc>
        <w:tc>
          <w:tcPr>
            <w:tcW w:w="1814" w:type="dxa"/>
            <w:tcBorders>
              <w:top w:val="single" w:sz="8" w:space="0" w:color="4F81BD"/>
              <w:left w:val="nil"/>
              <w:bottom w:val="nil"/>
              <w:right w:val="nil"/>
            </w:tcBorders>
            <w:noWrap/>
            <w:vAlign w:val="center"/>
          </w:tcPr>
          <w:p w:rsidR="00E656CC" w:rsidRPr="00CF7780" w:rsidRDefault="00E656CC" w:rsidP="00250808">
            <w:pPr>
              <w:spacing w:beforeLines="20" w:afterLines="20"/>
              <w:jc w:val="center"/>
              <w:rPr>
                <w:rFonts w:ascii="Arial" w:hAnsi="Arial" w:cs="Arial"/>
                <w:b/>
                <w:bCs/>
                <w:sz w:val="18"/>
                <w:szCs w:val="18"/>
                <w:lang w:val="it-IT" w:eastAsia="es-AR"/>
              </w:rPr>
            </w:pPr>
            <w:r w:rsidRPr="00CF7780">
              <w:rPr>
                <w:rFonts w:ascii="Arial" w:hAnsi="Arial" w:cs="Arial"/>
                <w:b/>
                <w:bCs/>
                <w:sz w:val="18"/>
                <w:szCs w:val="18"/>
                <w:lang w:val="it-IT" w:eastAsia="es-AR"/>
              </w:rPr>
              <w:t>Estimación VI</w:t>
            </w:r>
          </w:p>
          <w:p w:rsidR="00E656CC" w:rsidRPr="00CF7780" w:rsidRDefault="00E656CC" w:rsidP="00250808">
            <w:pPr>
              <w:spacing w:beforeLines="20" w:afterLines="20"/>
              <w:jc w:val="center"/>
              <w:rPr>
                <w:rFonts w:ascii="Arial" w:hAnsi="Arial" w:cs="Arial"/>
                <w:sz w:val="18"/>
                <w:szCs w:val="18"/>
                <w:lang w:val="it-IT" w:eastAsia="es-AR"/>
              </w:rPr>
            </w:pPr>
            <w:r w:rsidRPr="00CF7780">
              <w:rPr>
                <w:rFonts w:ascii="Arial" w:hAnsi="Arial" w:cs="Arial"/>
                <w:sz w:val="18"/>
                <w:szCs w:val="18"/>
                <w:lang w:val="it-IT" w:eastAsia="es-AR"/>
              </w:rPr>
              <w:t>(</w:t>
            </w:r>
            <w:r w:rsidRPr="00CF7780">
              <w:rPr>
                <w:rFonts w:ascii="Arial" w:hAnsi="Arial" w:cs="Arial"/>
                <w:b/>
                <w:bCs/>
                <w:sz w:val="18"/>
                <w:szCs w:val="18"/>
                <w:lang w:val="it-IT" w:eastAsia="es-AR"/>
              </w:rPr>
              <w:t>Robust Std.Err</w:t>
            </w:r>
            <w:r w:rsidRPr="00CF7780">
              <w:rPr>
                <w:rFonts w:ascii="Arial" w:hAnsi="Arial" w:cs="Arial"/>
                <w:sz w:val="18"/>
                <w:szCs w:val="18"/>
                <w:lang w:val="it-IT" w:eastAsia="es-AR"/>
              </w:rPr>
              <w:t>)</w:t>
            </w:r>
          </w:p>
          <w:p w:rsidR="00E656CC" w:rsidRPr="00CF7780" w:rsidRDefault="00E656CC" w:rsidP="00250808">
            <w:pPr>
              <w:spacing w:beforeLines="20" w:afterLines="20"/>
              <w:jc w:val="center"/>
              <w:rPr>
                <w:rFonts w:ascii="Arial" w:hAnsi="Arial" w:cs="Arial"/>
                <w:b/>
                <w:bCs/>
                <w:sz w:val="18"/>
                <w:szCs w:val="18"/>
                <w:lang w:val="it-IT" w:eastAsia="es-AR"/>
              </w:rPr>
            </w:pPr>
          </w:p>
        </w:tc>
        <w:tc>
          <w:tcPr>
            <w:tcW w:w="1814" w:type="dxa"/>
            <w:tcBorders>
              <w:top w:val="single" w:sz="8" w:space="0" w:color="4F81BD"/>
              <w:left w:val="nil"/>
              <w:bottom w:val="nil"/>
              <w:right w:val="nil"/>
            </w:tcBorders>
            <w:vAlign w:val="center"/>
          </w:tcPr>
          <w:p w:rsidR="00E656CC" w:rsidRPr="00CF7780" w:rsidRDefault="00E656CC" w:rsidP="00250808">
            <w:pPr>
              <w:spacing w:beforeLines="20" w:afterLines="20"/>
              <w:jc w:val="center"/>
              <w:rPr>
                <w:rFonts w:ascii="Arial" w:hAnsi="Arial" w:cs="Arial"/>
                <w:b/>
                <w:bCs/>
                <w:sz w:val="18"/>
                <w:szCs w:val="18"/>
                <w:lang w:val="en-US" w:eastAsia="es-AR"/>
              </w:rPr>
            </w:pPr>
            <w:r w:rsidRPr="00CF7780">
              <w:rPr>
                <w:rFonts w:ascii="Arial" w:hAnsi="Arial" w:cs="Arial"/>
                <w:b/>
                <w:bCs/>
                <w:sz w:val="18"/>
                <w:szCs w:val="18"/>
                <w:lang w:val="en-US" w:eastAsia="es-AR"/>
              </w:rPr>
              <w:t>Estimación EF</w:t>
            </w:r>
          </w:p>
          <w:p w:rsidR="00E656CC" w:rsidRPr="00CF7780" w:rsidRDefault="00E656CC" w:rsidP="00250808">
            <w:pPr>
              <w:spacing w:beforeLines="20" w:afterLines="20"/>
              <w:jc w:val="center"/>
              <w:rPr>
                <w:rFonts w:ascii="Arial" w:hAnsi="Arial" w:cs="Arial"/>
                <w:sz w:val="18"/>
                <w:szCs w:val="18"/>
                <w:lang w:val="en-US" w:eastAsia="es-AR"/>
              </w:rPr>
            </w:pPr>
            <w:r w:rsidRPr="00CF7780">
              <w:rPr>
                <w:rFonts w:ascii="Arial" w:hAnsi="Arial" w:cs="Arial"/>
                <w:sz w:val="18"/>
                <w:szCs w:val="18"/>
                <w:lang w:val="en-US" w:eastAsia="es-AR"/>
              </w:rPr>
              <w:t>(</w:t>
            </w:r>
            <w:r w:rsidRPr="00CF7780">
              <w:rPr>
                <w:rFonts w:ascii="Arial" w:hAnsi="Arial" w:cs="Arial"/>
                <w:b/>
                <w:bCs/>
                <w:sz w:val="18"/>
                <w:szCs w:val="18"/>
                <w:lang w:val="en-US" w:eastAsia="es-AR"/>
              </w:rPr>
              <w:t>Driscoll Kraay Std.Err</w:t>
            </w:r>
            <w:r w:rsidRPr="00CF7780">
              <w:rPr>
                <w:rFonts w:ascii="Arial" w:hAnsi="Arial" w:cs="Arial"/>
                <w:sz w:val="18"/>
                <w:szCs w:val="18"/>
                <w:lang w:val="en-US" w:eastAsia="es-AR"/>
              </w:rPr>
              <w:t>.)</w:t>
            </w:r>
          </w:p>
        </w:tc>
        <w:tc>
          <w:tcPr>
            <w:tcW w:w="1814" w:type="dxa"/>
            <w:tcBorders>
              <w:top w:val="single" w:sz="8" w:space="0" w:color="4F81BD"/>
              <w:left w:val="nil"/>
              <w:bottom w:val="nil"/>
              <w:right w:val="nil"/>
            </w:tcBorders>
            <w:noWrap/>
            <w:vAlign w:val="center"/>
          </w:tcPr>
          <w:p w:rsidR="00E656CC" w:rsidRPr="00CF7780" w:rsidRDefault="00E656CC" w:rsidP="00250808">
            <w:pPr>
              <w:spacing w:beforeLines="20" w:afterLines="20"/>
              <w:jc w:val="center"/>
              <w:rPr>
                <w:rFonts w:ascii="Arial" w:hAnsi="Arial" w:cs="Arial"/>
                <w:b/>
                <w:bCs/>
                <w:sz w:val="18"/>
                <w:szCs w:val="18"/>
                <w:lang w:val="it-IT" w:eastAsia="es-AR"/>
              </w:rPr>
            </w:pPr>
            <w:r w:rsidRPr="00CF7780">
              <w:rPr>
                <w:rFonts w:ascii="Arial" w:hAnsi="Arial" w:cs="Arial"/>
                <w:b/>
                <w:bCs/>
                <w:sz w:val="18"/>
                <w:szCs w:val="18"/>
                <w:lang w:val="it-IT" w:eastAsia="es-AR"/>
              </w:rPr>
              <w:t>Estimación VI</w:t>
            </w:r>
          </w:p>
          <w:p w:rsidR="00E656CC" w:rsidRPr="00CF7780" w:rsidRDefault="00E656CC" w:rsidP="00250808">
            <w:pPr>
              <w:spacing w:beforeLines="20" w:afterLines="20"/>
              <w:jc w:val="center"/>
              <w:rPr>
                <w:rFonts w:ascii="Arial" w:hAnsi="Arial" w:cs="Arial"/>
                <w:b/>
                <w:bCs/>
                <w:sz w:val="18"/>
                <w:szCs w:val="18"/>
                <w:lang w:val="it-IT" w:eastAsia="es-AR"/>
              </w:rPr>
            </w:pPr>
            <w:r w:rsidRPr="00CF7780">
              <w:rPr>
                <w:rFonts w:ascii="Arial" w:hAnsi="Arial" w:cs="Arial"/>
                <w:sz w:val="18"/>
                <w:szCs w:val="18"/>
                <w:lang w:val="it-IT" w:eastAsia="es-AR"/>
              </w:rPr>
              <w:t>(</w:t>
            </w:r>
            <w:r w:rsidRPr="00CF7780">
              <w:rPr>
                <w:rFonts w:ascii="Arial" w:hAnsi="Arial" w:cs="Arial"/>
                <w:b/>
                <w:bCs/>
                <w:sz w:val="18"/>
                <w:szCs w:val="18"/>
                <w:lang w:val="it-IT" w:eastAsia="es-AR"/>
              </w:rPr>
              <w:t>Robust Std.Er</w:t>
            </w:r>
            <w:r w:rsidRPr="00CF7780">
              <w:rPr>
                <w:rFonts w:ascii="Arial" w:hAnsi="Arial" w:cs="Arial"/>
                <w:sz w:val="18"/>
                <w:szCs w:val="18"/>
                <w:lang w:val="it-IT" w:eastAsia="es-AR"/>
              </w:rPr>
              <w:t>)</w:t>
            </w:r>
          </w:p>
        </w:tc>
      </w:tr>
      <w:tr w:rsidR="00E656CC" w:rsidRPr="00CF7780" w:rsidTr="007214AF">
        <w:trPr>
          <w:trHeight w:val="301"/>
        </w:trPr>
        <w:tc>
          <w:tcPr>
            <w:tcW w:w="1891" w:type="dxa"/>
            <w:tcBorders>
              <w:top w:val="nil"/>
              <w:left w:val="nil"/>
              <w:bottom w:val="single" w:sz="8" w:space="0" w:color="4F81BD"/>
              <w:right w:val="nil"/>
            </w:tcBorders>
            <w:noWrap/>
            <w:vAlign w:val="center"/>
          </w:tcPr>
          <w:p w:rsidR="00E656CC" w:rsidRPr="00CF7780" w:rsidRDefault="00E656CC" w:rsidP="00250808">
            <w:pPr>
              <w:spacing w:beforeLines="20" w:afterLines="20"/>
              <w:jc w:val="center"/>
              <w:rPr>
                <w:rFonts w:ascii="Arial" w:hAnsi="Arial" w:cs="Arial"/>
                <w:b/>
                <w:bCs/>
                <w:sz w:val="18"/>
                <w:szCs w:val="18"/>
                <w:lang w:eastAsia="es-AR"/>
              </w:rPr>
            </w:pPr>
          </w:p>
        </w:tc>
        <w:tc>
          <w:tcPr>
            <w:tcW w:w="1814" w:type="dxa"/>
            <w:tcBorders>
              <w:top w:val="nil"/>
              <w:left w:val="nil"/>
              <w:bottom w:val="single" w:sz="8" w:space="0" w:color="4F81BD"/>
              <w:right w:val="nil"/>
            </w:tcBorders>
            <w:vAlign w:val="center"/>
          </w:tcPr>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n-US" w:eastAsia="es-AR"/>
              </w:rPr>
              <w:t>(1)</w:t>
            </w:r>
          </w:p>
        </w:tc>
        <w:tc>
          <w:tcPr>
            <w:tcW w:w="1814" w:type="dxa"/>
            <w:tcBorders>
              <w:top w:val="nil"/>
              <w:left w:val="nil"/>
              <w:bottom w:val="single" w:sz="8" w:space="0" w:color="4F81BD"/>
              <w:right w:val="nil"/>
            </w:tcBorders>
            <w:noWrap/>
            <w:vAlign w:val="center"/>
          </w:tcPr>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it-IT" w:eastAsia="es-AR"/>
              </w:rPr>
              <w:t>(2)</w:t>
            </w:r>
          </w:p>
        </w:tc>
        <w:tc>
          <w:tcPr>
            <w:tcW w:w="1814" w:type="dxa"/>
            <w:tcBorders>
              <w:top w:val="nil"/>
              <w:left w:val="nil"/>
              <w:bottom w:val="single" w:sz="8" w:space="0" w:color="4F81BD"/>
              <w:right w:val="nil"/>
            </w:tcBorders>
            <w:vAlign w:val="center"/>
          </w:tcPr>
          <w:p w:rsidR="00E656CC" w:rsidRPr="00CF7780" w:rsidRDefault="00E656CC" w:rsidP="007214AF">
            <w:pPr>
              <w:spacing w:before="40" w:after="40"/>
              <w:jc w:val="center"/>
              <w:rPr>
                <w:rFonts w:ascii="Arial" w:hAnsi="Arial" w:cs="Arial"/>
                <w:kern w:val="24"/>
                <w:sz w:val="18"/>
                <w:szCs w:val="18"/>
                <w:lang w:val="es-MX"/>
              </w:rPr>
            </w:pPr>
            <w:r w:rsidRPr="00CF7780">
              <w:rPr>
                <w:rFonts w:ascii="Arial" w:hAnsi="Arial" w:cs="Arial"/>
                <w:sz w:val="18"/>
                <w:szCs w:val="18"/>
                <w:lang w:val="en-US" w:eastAsia="es-AR"/>
              </w:rPr>
              <w:t>(3)</w:t>
            </w:r>
          </w:p>
        </w:tc>
        <w:tc>
          <w:tcPr>
            <w:tcW w:w="1814" w:type="dxa"/>
            <w:tcBorders>
              <w:top w:val="nil"/>
              <w:left w:val="nil"/>
              <w:bottom w:val="single" w:sz="8" w:space="0" w:color="4F81BD"/>
              <w:right w:val="nil"/>
            </w:tcBorders>
            <w:noWrap/>
            <w:vAlign w:val="center"/>
          </w:tcPr>
          <w:p w:rsidR="00E656CC" w:rsidRPr="00CF7780" w:rsidRDefault="00E656CC" w:rsidP="007214AF">
            <w:pPr>
              <w:spacing w:before="40" w:after="40"/>
              <w:jc w:val="center"/>
              <w:rPr>
                <w:rFonts w:ascii="Arial" w:hAnsi="Arial" w:cs="Arial"/>
                <w:sz w:val="18"/>
                <w:szCs w:val="18"/>
              </w:rPr>
            </w:pPr>
            <w:r w:rsidRPr="00CF7780">
              <w:rPr>
                <w:rFonts w:ascii="Arial" w:hAnsi="Arial" w:cs="Arial"/>
                <w:sz w:val="18"/>
                <w:szCs w:val="18"/>
              </w:rPr>
              <w:t>(4)</w:t>
            </w:r>
          </w:p>
        </w:tc>
      </w:tr>
      <w:tr w:rsidR="00E656CC" w:rsidRPr="00CF7780" w:rsidTr="007214AF">
        <w:trPr>
          <w:trHeight w:val="301"/>
        </w:trPr>
        <w:tc>
          <w:tcPr>
            <w:tcW w:w="1891" w:type="dxa"/>
            <w:tcBorders>
              <w:top w:val="single" w:sz="8" w:space="0" w:color="4F81BD"/>
              <w:left w:val="nil"/>
              <w:right w:val="nil"/>
            </w:tcBorders>
            <w:shd w:val="clear" w:color="auto" w:fill="D3DFEE"/>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l5.tmatric_prim</w:t>
            </w:r>
          </w:p>
        </w:tc>
        <w:tc>
          <w:tcPr>
            <w:tcW w:w="1814" w:type="dxa"/>
            <w:tcBorders>
              <w:top w:val="single" w:sz="8" w:space="0" w:color="4F81BD"/>
              <w:left w:val="nil"/>
              <w:right w:val="nil"/>
            </w:tcBorders>
            <w:shd w:val="clear" w:color="auto" w:fill="D3DFEE"/>
          </w:tcPr>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0.0891</w:t>
            </w:r>
          </w:p>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(0.0597)</w:t>
            </w:r>
          </w:p>
        </w:tc>
        <w:tc>
          <w:tcPr>
            <w:tcW w:w="1814" w:type="dxa"/>
            <w:tcBorders>
              <w:top w:val="single" w:sz="8" w:space="0" w:color="4F81BD"/>
              <w:left w:val="nil"/>
              <w:right w:val="nil"/>
            </w:tcBorders>
            <w:shd w:val="clear" w:color="auto" w:fill="D3DFEE"/>
            <w:noWrap/>
          </w:tcPr>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-0.217</w:t>
            </w:r>
          </w:p>
          <w:p w:rsidR="00E656CC" w:rsidRPr="00CF7780" w:rsidRDefault="00E656CC" w:rsidP="007214AF">
            <w:pPr>
              <w:spacing w:before="40" w:after="40"/>
              <w:jc w:val="center"/>
              <w:rPr>
                <w:rFonts w:ascii="Arial" w:hAnsi="Arial" w:cs="Arial"/>
                <w:sz w:val="18"/>
                <w:szCs w:val="18"/>
              </w:rPr>
            </w:pPr>
            <w:r w:rsidRPr="00CF7780">
              <w:rPr>
                <w:rFonts w:ascii="Arial" w:hAnsi="Arial" w:cs="Arial"/>
                <w:sz w:val="18"/>
                <w:szCs w:val="18"/>
                <w:lang w:val="es-AR"/>
              </w:rPr>
              <w:t>(0.456)</w:t>
            </w:r>
          </w:p>
        </w:tc>
        <w:tc>
          <w:tcPr>
            <w:tcW w:w="1814" w:type="dxa"/>
            <w:tcBorders>
              <w:top w:val="single" w:sz="8" w:space="0" w:color="4F81BD"/>
              <w:left w:val="nil"/>
              <w:right w:val="nil"/>
            </w:tcBorders>
            <w:shd w:val="clear" w:color="auto" w:fill="D3DFEE"/>
          </w:tcPr>
          <w:p w:rsidR="00E656CC" w:rsidRPr="00CF7780" w:rsidRDefault="00E656CC" w:rsidP="007214AF">
            <w:pPr>
              <w:spacing w:before="40" w:after="40"/>
              <w:jc w:val="center"/>
              <w:rPr>
                <w:rFonts w:ascii="Arial" w:hAnsi="Arial" w:cs="Arial"/>
                <w:kern w:val="24"/>
                <w:sz w:val="18"/>
                <w:szCs w:val="18"/>
                <w:lang w:val="es-MX"/>
              </w:rPr>
            </w:pPr>
            <w:r w:rsidRPr="00CF7780">
              <w:rPr>
                <w:rFonts w:ascii="Arial" w:hAnsi="Arial" w:cs="Arial"/>
                <w:kern w:val="24"/>
                <w:sz w:val="18"/>
                <w:szCs w:val="18"/>
                <w:lang w:val="es-MX"/>
              </w:rPr>
              <w:t>-0.0520*</w:t>
            </w:r>
          </w:p>
          <w:p w:rsidR="00E656CC" w:rsidRPr="00CF7780" w:rsidRDefault="00E656CC" w:rsidP="007214AF">
            <w:pPr>
              <w:spacing w:before="40" w:after="40"/>
              <w:jc w:val="center"/>
              <w:rPr>
                <w:rFonts w:ascii="Arial" w:hAnsi="Arial" w:cs="Arial"/>
                <w:kern w:val="24"/>
                <w:sz w:val="18"/>
                <w:szCs w:val="18"/>
                <w:lang w:val="es-MX" w:eastAsia="es-AR"/>
              </w:rPr>
            </w:pPr>
            <w:r w:rsidRPr="00CF7780">
              <w:rPr>
                <w:rFonts w:ascii="Arial" w:hAnsi="Arial" w:cs="Arial"/>
                <w:kern w:val="24"/>
                <w:sz w:val="18"/>
                <w:szCs w:val="18"/>
                <w:lang w:val="es-MX"/>
              </w:rPr>
              <w:t>(0.0217)</w:t>
            </w:r>
          </w:p>
        </w:tc>
        <w:tc>
          <w:tcPr>
            <w:tcW w:w="1814" w:type="dxa"/>
            <w:tcBorders>
              <w:top w:val="single" w:sz="8" w:space="0" w:color="4F81BD"/>
              <w:left w:val="nil"/>
              <w:right w:val="nil"/>
            </w:tcBorders>
            <w:shd w:val="clear" w:color="auto" w:fill="D3DFEE"/>
            <w:noWrap/>
          </w:tcPr>
          <w:p w:rsidR="00E656CC" w:rsidRPr="00CF7780" w:rsidRDefault="00E656CC" w:rsidP="007214AF">
            <w:pPr>
              <w:spacing w:before="40" w:after="40"/>
              <w:jc w:val="center"/>
              <w:rPr>
                <w:rFonts w:ascii="Arial" w:hAnsi="Arial" w:cs="Arial"/>
                <w:sz w:val="18"/>
                <w:szCs w:val="18"/>
              </w:rPr>
            </w:pPr>
            <w:r w:rsidRPr="00CF7780">
              <w:rPr>
                <w:rFonts w:ascii="Arial" w:hAnsi="Arial" w:cs="Arial"/>
                <w:sz w:val="18"/>
                <w:szCs w:val="18"/>
              </w:rPr>
              <w:t>-0.130</w:t>
            </w:r>
          </w:p>
          <w:p w:rsidR="00E656CC" w:rsidRPr="00CF7780" w:rsidRDefault="00E656CC" w:rsidP="007214AF">
            <w:pPr>
              <w:spacing w:before="40" w:after="40"/>
              <w:jc w:val="center"/>
              <w:rPr>
                <w:rFonts w:ascii="Arial" w:hAnsi="Arial" w:cs="Arial"/>
                <w:sz w:val="18"/>
                <w:szCs w:val="18"/>
                <w:lang w:eastAsia="es-AR"/>
              </w:rPr>
            </w:pPr>
            <w:r w:rsidRPr="00CF7780">
              <w:rPr>
                <w:rFonts w:ascii="Arial" w:hAnsi="Arial" w:cs="Arial"/>
                <w:sz w:val="18"/>
                <w:szCs w:val="18"/>
              </w:rPr>
              <w:t>(0.0830)</w:t>
            </w:r>
          </w:p>
        </w:tc>
      </w:tr>
      <w:tr w:rsidR="00E656CC" w:rsidRPr="00CF7780" w:rsidTr="007214AF">
        <w:trPr>
          <w:trHeight w:val="301"/>
        </w:trPr>
        <w:tc>
          <w:tcPr>
            <w:tcW w:w="1891" w:type="dxa"/>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l5.tmatric_sec</w:t>
            </w:r>
          </w:p>
        </w:tc>
        <w:tc>
          <w:tcPr>
            <w:tcW w:w="1814" w:type="dxa"/>
          </w:tcPr>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 xml:space="preserve">  0.163***</w:t>
            </w:r>
          </w:p>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(0.0361)</w:t>
            </w:r>
          </w:p>
        </w:tc>
        <w:tc>
          <w:tcPr>
            <w:tcW w:w="1814" w:type="dxa"/>
            <w:noWrap/>
          </w:tcPr>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0.291▪</w:t>
            </w:r>
          </w:p>
          <w:p w:rsidR="00E656CC" w:rsidRPr="00CF7780" w:rsidRDefault="00E656CC" w:rsidP="007214AF">
            <w:pPr>
              <w:spacing w:before="40" w:after="40"/>
              <w:jc w:val="center"/>
              <w:rPr>
                <w:rFonts w:ascii="Arial" w:hAnsi="Arial" w:cs="Arial"/>
                <w:sz w:val="18"/>
                <w:szCs w:val="18"/>
                <w:lang w:val="es-AR"/>
              </w:rPr>
            </w:pPr>
            <w:r w:rsidRPr="00CF7780">
              <w:rPr>
                <w:rFonts w:ascii="Arial" w:hAnsi="Arial" w:cs="Arial"/>
                <w:sz w:val="18"/>
                <w:szCs w:val="18"/>
                <w:lang w:val="es-AR"/>
              </w:rPr>
              <w:t>(0.172)</w:t>
            </w:r>
          </w:p>
        </w:tc>
        <w:tc>
          <w:tcPr>
            <w:tcW w:w="1814" w:type="dxa"/>
          </w:tcPr>
          <w:p w:rsidR="00E656CC" w:rsidRPr="00CF7780" w:rsidRDefault="00E656CC" w:rsidP="007214AF">
            <w:pPr>
              <w:spacing w:before="40" w:after="40"/>
              <w:jc w:val="center"/>
              <w:rPr>
                <w:rFonts w:ascii="Arial" w:hAnsi="Arial" w:cs="Arial"/>
                <w:kern w:val="24"/>
                <w:sz w:val="18"/>
                <w:szCs w:val="18"/>
                <w:lang w:val="es-MX"/>
              </w:rPr>
            </w:pPr>
            <w:r w:rsidRPr="00CF7780">
              <w:rPr>
                <w:rFonts w:ascii="Arial" w:hAnsi="Arial" w:cs="Arial"/>
                <w:kern w:val="24"/>
                <w:sz w:val="18"/>
                <w:szCs w:val="18"/>
                <w:lang w:val="es-MX"/>
              </w:rPr>
              <w:t xml:space="preserve">  0.0831***</w:t>
            </w:r>
          </w:p>
          <w:p w:rsidR="00E656CC" w:rsidRPr="00CF7780" w:rsidRDefault="00E656CC" w:rsidP="007214AF">
            <w:pPr>
              <w:spacing w:before="40" w:after="40"/>
              <w:jc w:val="center"/>
              <w:rPr>
                <w:rFonts w:ascii="Arial" w:hAnsi="Arial" w:cs="Arial"/>
                <w:kern w:val="24"/>
                <w:sz w:val="18"/>
                <w:szCs w:val="18"/>
                <w:lang w:val="es-MX"/>
              </w:rPr>
            </w:pPr>
            <w:r w:rsidRPr="00CF7780">
              <w:rPr>
                <w:rFonts w:ascii="Arial" w:hAnsi="Arial" w:cs="Arial"/>
                <w:kern w:val="24"/>
                <w:sz w:val="18"/>
                <w:szCs w:val="18"/>
                <w:lang w:val="es-MX"/>
              </w:rPr>
              <w:t>(0.0216)</w:t>
            </w:r>
          </w:p>
        </w:tc>
        <w:tc>
          <w:tcPr>
            <w:tcW w:w="1814" w:type="dxa"/>
            <w:noWrap/>
          </w:tcPr>
          <w:p w:rsidR="00E656CC" w:rsidRPr="00CF7780" w:rsidRDefault="00E656CC" w:rsidP="007214AF">
            <w:pPr>
              <w:spacing w:before="40" w:after="40"/>
              <w:jc w:val="center"/>
              <w:rPr>
                <w:rFonts w:ascii="Arial" w:hAnsi="Arial" w:cs="Arial"/>
                <w:sz w:val="18"/>
                <w:szCs w:val="18"/>
                <w:lang w:eastAsia="es-AR"/>
              </w:rPr>
            </w:pPr>
            <w:r w:rsidRPr="00CF7780">
              <w:rPr>
                <w:rFonts w:ascii="Arial" w:hAnsi="Arial" w:cs="Arial"/>
                <w:sz w:val="18"/>
                <w:szCs w:val="18"/>
              </w:rPr>
              <w:t>0.221</w:t>
            </w:r>
            <w:r w:rsidRPr="00CF7780">
              <w:rPr>
                <w:rFonts w:ascii="Arial" w:hAnsi="Arial" w:cs="Arial"/>
                <w:sz w:val="18"/>
                <w:szCs w:val="18"/>
                <w:lang w:eastAsia="es-AR"/>
              </w:rPr>
              <w:t>▪</w:t>
            </w:r>
          </w:p>
          <w:p w:rsidR="00E656CC" w:rsidRPr="00CF7780" w:rsidRDefault="00E656CC" w:rsidP="007214AF">
            <w:pPr>
              <w:spacing w:before="40" w:after="40"/>
              <w:jc w:val="center"/>
              <w:rPr>
                <w:rFonts w:ascii="Arial" w:hAnsi="Arial" w:cs="Arial"/>
                <w:sz w:val="18"/>
                <w:szCs w:val="18"/>
                <w:lang w:eastAsia="es-AR"/>
              </w:rPr>
            </w:pPr>
            <w:r w:rsidRPr="00CF7780">
              <w:rPr>
                <w:rFonts w:ascii="Arial" w:hAnsi="Arial" w:cs="Arial"/>
                <w:sz w:val="18"/>
                <w:szCs w:val="18"/>
              </w:rPr>
              <w:t>(0.129)</w:t>
            </w:r>
          </w:p>
        </w:tc>
      </w:tr>
      <w:tr w:rsidR="00E656CC" w:rsidRPr="00CF7780" w:rsidTr="007214AF">
        <w:trPr>
          <w:trHeight w:val="301"/>
        </w:trPr>
        <w:tc>
          <w:tcPr>
            <w:tcW w:w="1891" w:type="dxa"/>
            <w:tcBorders>
              <w:left w:val="nil"/>
              <w:right w:val="nil"/>
            </w:tcBorders>
            <w:shd w:val="clear" w:color="auto" w:fill="D3DFEE"/>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l5.t_matric_snu</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0.117**</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(0.0318)</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0.211</w:t>
            </w:r>
            <w:r w:rsidRPr="00CF7780">
              <w:rPr>
                <w:rFonts w:ascii="Arial" w:hAnsi="Arial" w:cs="Arial"/>
                <w:sz w:val="18"/>
                <w:szCs w:val="18"/>
                <w:lang w:eastAsia="es-AR"/>
              </w:rPr>
              <w:t>▪</w:t>
            </w:r>
            <w:r w:rsidRPr="00CF7780">
              <w:rPr>
                <w:rFonts w:ascii="Arial" w:hAnsi="Arial" w:cs="Arial"/>
                <w:sz w:val="18"/>
                <w:szCs w:val="18"/>
                <w:lang w:val="es-AR"/>
              </w:rPr>
              <w:t xml:space="preserve">        </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(0.113)</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sz w:val="18"/>
                <w:szCs w:val="18"/>
                <w:lang w:eastAsia="es-AR"/>
              </w:rPr>
            </w:pP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eastAsia="es-AR"/>
              </w:rPr>
            </w:pPr>
          </w:p>
        </w:tc>
      </w:tr>
      <w:tr w:rsidR="00E656CC" w:rsidRPr="00CF7780" w:rsidTr="007214AF">
        <w:trPr>
          <w:trHeight w:val="301"/>
        </w:trPr>
        <w:tc>
          <w:tcPr>
            <w:tcW w:w="1891" w:type="dxa"/>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l5.t_matric_u</w:t>
            </w:r>
          </w:p>
        </w:tc>
        <w:tc>
          <w:tcPr>
            <w:tcW w:w="1814" w:type="dxa"/>
          </w:tcPr>
          <w:p w:rsidR="00E656CC" w:rsidRPr="00CF7780" w:rsidRDefault="00E656CC" w:rsidP="00250808">
            <w:pPr>
              <w:spacing w:beforeLines="20" w:afterLines="20"/>
              <w:jc w:val="center"/>
              <w:rPr>
                <w:rFonts w:ascii="Arial" w:hAnsi="Arial" w:cs="Arial"/>
                <w:sz w:val="18"/>
                <w:szCs w:val="18"/>
                <w:lang w:eastAsia="es-AR"/>
              </w:rPr>
            </w:pPr>
          </w:p>
        </w:tc>
        <w:tc>
          <w:tcPr>
            <w:tcW w:w="1814" w:type="dxa"/>
            <w:noWrap/>
          </w:tcPr>
          <w:p w:rsidR="00E656CC" w:rsidRPr="00CF7780" w:rsidRDefault="00E656CC" w:rsidP="00250808">
            <w:pPr>
              <w:spacing w:beforeLines="20" w:afterLines="20"/>
              <w:jc w:val="center"/>
              <w:rPr>
                <w:rFonts w:ascii="Arial" w:hAnsi="Arial" w:cs="Arial"/>
                <w:sz w:val="18"/>
                <w:szCs w:val="18"/>
                <w:lang w:eastAsia="es-AR"/>
              </w:rPr>
            </w:pPr>
          </w:p>
        </w:tc>
        <w:tc>
          <w:tcPr>
            <w:tcW w:w="1814" w:type="dxa"/>
          </w:tcPr>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0.141***</w:t>
            </w:r>
          </w:p>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(0.0217)</w:t>
            </w:r>
          </w:p>
        </w:tc>
        <w:tc>
          <w:tcPr>
            <w:tcW w:w="1814" w:type="dxa"/>
            <w:noWrap/>
          </w:tcPr>
          <w:p w:rsidR="00E656CC" w:rsidRPr="00CF7780" w:rsidRDefault="00E656CC" w:rsidP="00250808">
            <w:pPr>
              <w:spacing w:beforeLines="20" w:afterLines="20"/>
              <w:jc w:val="center"/>
              <w:rPr>
                <w:rFonts w:ascii="Arial" w:hAnsi="Arial" w:cs="Arial"/>
                <w:sz w:val="18"/>
                <w:szCs w:val="18"/>
                <w:lang w:val="fr-BE"/>
              </w:rPr>
            </w:pPr>
            <w:r w:rsidRPr="00CF7780">
              <w:rPr>
                <w:rFonts w:ascii="Arial" w:hAnsi="Arial" w:cs="Arial"/>
                <w:sz w:val="18"/>
                <w:szCs w:val="18"/>
                <w:lang w:val="fr-BE"/>
              </w:rPr>
              <w:t xml:space="preserve">0.220**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lang w:val="fr-BE"/>
              </w:rPr>
              <w:t>(0.0762)</w:t>
            </w:r>
          </w:p>
        </w:tc>
      </w:tr>
      <w:tr w:rsidR="00E656CC" w:rsidRPr="00CF7780" w:rsidTr="007214AF">
        <w:trPr>
          <w:trHeight w:val="301"/>
        </w:trPr>
        <w:tc>
          <w:tcPr>
            <w:tcW w:w="1891" w:type="dxa"/>
            <w:tcBorders>
              <w:left w:val="nil"/>
              <w:right w:val="nil"/>
            </w:tcBorders>
            <w:shd w:val="clear" w:color="auto" w:fill="D3DFEE"/>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l5.logpbgpc</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-0.167***</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(0.0426)</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 xml:space="preserve">-0.187***         </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(0.0379)</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 xml:space="preserve">-0.163***         </w:t>
            </w:r>
          </w:p>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(0.0392)</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val="fr-BE"/>
              </w:rPr>
            </w:pPr>
            <w:r w:rsidRPr="00CF7780">
              <w:rPr>
                <w:rFonts w:ascii="Arial" w:hAnsi="Arial" w:cs="Arial"/>
                <w:sz w:val="18"/>
                <w:szCs w:val="18"/>
                <w:lang w:val="fr-BE"/>
              </w:rPr>
              <w:t xml:space="preserve">-0.172***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lang w:val="fr-BE"/>
              </w:rPr>
              <w:t>(0.0260)</w:t>
            </w:r>
          </w:p>
        </w:tc>
      </w:tr>
      <w:tr w:rsidR="00E656CC" w:rsidRPr="00CF7780" w:rsidTr="007214AF">
        <w:trPr>
          <w:trHeight w:val="301"/>
        </w:trPr>
        <w:tc>
          <w:tcPr>
            <w:tcW w:w="1891" w:type="dxa"/>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l5.mortalidad</w:t>
            </w:r>
          </w:p>
        </w:tc>
        <w:tc>
          <w:tcPr>
            <w:tcW w:w="1814" w:type="dxa"/>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-0.00342**</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(0.00117)</w:t>
            </w:r>
          </w:p>
        </w:tc>
        <w:tc>
          <w:tcPr>
            <w:tcW w:w="1814" w:type="dxa"/>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-0.00417</w:t>
            </w:r>
            <w:r w:rsidRPr="00CF7780">
              <w:rPr>
                <w:rFonts w:ascii="Arial" w:hAnsi="Arial" w:cs="Arial"/>
                <w:sz w:val="18"/>
                <w:szCs w:val="18"/>
                <w:lang w:eastAsia="es-AR"/>
              </w:rPr>
              <w:t>▪</w:t>
            </w:r>
            <w:r w:rsidRPr="00CF7780">
              <w:rPr>
                <w:rFonts w:ascii="Arial" w:hAnsi="Arial" w:cs="Arial"/>
                <w:sz w:val="18"/>
                <w:szCs w:val="18"/>
                <w:lang w:val="es-AR"/>
              </w:rPr>
              <w:t xml:space="preserve">          </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(0.00214)</w:t>
            </w:r>
          </w:p>
        </w:tc>
        <w:tc>
          <w:tcPr>
            <w:tcW w:w="1814" w:type="dxa"/>
          </w:tcPr>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 xml:space="preserve">-0.00384**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kern w:val="24"/>
                <w:sz w:val="18"/>
                <w:szCs w:val="18"/>
                <w:lang w:val="es-MX"/>
              </w:rPr>
              <w:t>(0.00111)</w:t>
            </w:r>
          </w:p>
        </w:tc>
        <w:tc>
          <w:tcPr>
            <w:tcW w:w="1814" w:type="dxa"/>
            <w:noWrap/>
          </w:tcPr>
          <w:p w:rsidR="00E656CC" w:rsidRPr="00CF7780" w:rsidRDefault="00E656CC" w:rsidP="00250808">
            <w:pPr>
              <w:spacing w:beforeLines="20" w:afterLines="20"/>
              <w:jc w:val="center"/>
              <w:rPr>
                <w:rFonts w:ascii="Arial" w:hAnsi="Arial" w:cs="Arial"/>
                <w:sz w:val="18"/>
                <w:szCs w:val="18"/>
                <w:lang w:val="fr-BE"/>
              </w:rPr>
            </w:pPr>
            <w:r w:rsidRPr="00CF7780">
              <w:rPr>
                <w:rFonts w:ascii="Arial" w:hAnsi="Arial" w:cs="Arial"/>
                <w:sz w:val="18"/>
                <w:szCs w:val="18"/>
                <w:lang w:val="fr-BE"/>
              </w:rPr>
              <w:t xml:space="preserve">-0.00342**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lang w:val="fr-BE"/>
              </w:rPr>
              <w:t>(0.00104)</w:t>
            </w:r>
          </w:p>
        </w:tc>
      </w:tr>
      <w:tr w:rsidR="00E656CC" w:rsidRPr="00CF7780" w:rsidTr="007214AF">
        <w:trPr>
          <w:trHeight w:val="301"/>
        </w:trPr>
        <w:tc>
          <w:tcPr>
            <w:tcW w:w="1891" w:type="dxa"/>
            <w:tcBorders>
              <w:left w:val="nil"/>
              <w:right w:val="nil"/>
            </w:tcBorders>
            <w:shd w:val="clear" w:color="auto" w:fill="D3DFEE"/>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l5.gd5_pbg</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0.406***</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(0.0908)</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0.363</w:t>
            </w:r>
            <w:r w:rsidRPr="00CF7780">
              <w:rPr>
                <w:rFonts w:ascii="Arial" w:hAnsi="Arial" w:cs="Arial"/>
                <w:sz w:val="18"/>
                <w:szCs w:val="18"/>
                <w:lang w:eastAsia="es-AR"/>
              </w:rPr>
              <w:t>▪</w:t>
            </w:r>
            <w:r w:rsidRPr="00CF7780">
              <w:rPr>
                <w:rFonts w:ascii="Arial" w:hAnsi="Arial" w:cs="Arial"/>
                <w:sz w:val="18"/>
                <w:szCs w:val="18"/>
                <w:lang w:val="es-AR"/>
              </w:rPr>
              <w:t xml:space="preserve">           </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(0.199)</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 xml:space="preserve">0.255**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kern w:val="24"/>
                <w:sz w:val="18"/>
                <w:szCs w:val="18"/>
                <w:lang w:val="es-MX"/>
              </w:rPr>
              <w:t>(0.0675)</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val="fr-BE"/>
              </w:rPr>
            </w:pPr>
            <w:r w:rsidRPr="00CF7780">
              <w:rPr>
                <w:rFonts w:ascii="Arial" w:hAnsi="Arial" w:cs="Arial"/>
                <w:sz w:val="18"/>
                <w:szCs w:val="18"/>
                <w:lang w:val="fr-BE"/>
              </w:rPr>
              <w:t xml:space="preserve">0.190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lang w:val="fr-BE"/>
              </w:rPr>
              <w:t>(0.153)</w:t>
            </w:r>
          </w:p>
        </w:tc>
      </w:tr>
      <w:tr w:rsidR="00E656CC" w:rsidRPr="00CF7780" w:rsidTr="007214AF">
        <w:trPr>
          <w:trHeight w:val="301"/>
        </w:trPr>
        <w:tc>
          <w:tcPr>
            <w:tcW w:w="1891" w:type="dxa"/>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sz w:val="18"/>
                <w:szCs w:val="18"/>
                <w:lang w:eastAsia="es-AR"/>
              </w:rPr>
              <w:t xml:space="preserve">l5.DFiscal_GT    </w:t>
            </w:r>
          </w:p>
        </w:tc>
        <w:tc>
          <w:tcPr>
            <w:tcW w:w="1814" w:type="dxa"/>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0.0336</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lang w:val="es-AR"/>
              </w:rPr>
              <w:t>(0.0217)</w:t>
            </w:r>
          </w:p>
        </w:tc>
        <w:tc>
          <w:tcPr>
            <w:tcW w:w="1814" w:type="dxa"/>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0.0364</w:t>
            </w:r>
            <w:r w:rsidRPr="00CF7780">
              <w:rPr>
                <w:rFonts w:ascii="Arial" w:hAnsi="Arial" w:cs="Arial"/>
                <w:sz w:val="18"/>
                <w:szCs w:val="18"/>
                <w:lang w:eastAsia="es-AR"/>
              </w:rPr>
              <w:t>▪</w:t>
            </w:r>
            <w:r w:rsidRPr="00CF7780">
              <w:rPr>
                <w:rFonts w:ascii="Arial" w:hAnsi="Arial" w:cs="Arial"/>
                <w:sz w:val="18"/>
                <w:szCs w:val="18"/>
                <w:lang w:val="es-AR"/>
              </w:rPr>
              <w:t xml:space="preserve">          </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(0.0198)</w:t>
            </w:r>
          </w:p>
        </w:tc>
        <w:tc>
          <w:tcPr>
            <w:tcW w:w="1814" w:type="dxa"/>
          </w:tcPr>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 xml:space="preserve">0.0356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kern w:val="24"/>
                <w:sz w:val="18"/>
                <w:szCs w:val="18"/>
                <w:lang w:val="es-MX"/>
              </w:rPr>
              <w:t>(0.0180)</w:t>
            </w:r>
          </w:p>
        </w:tc>
        <w:tc>
          <w:tcPr>
            <w:tcW w:w="1814" w:type="dxa"/>
            <w:noWrap/>
          </w:tcPr>
          <w:p w:rsidR="00E656CC" w:rsidRPr="00CF7780" w:rsidRDefault="00E656CC" w:rsidP="00250808">
            <w:pPr>
              <w:spacing w:beforeLines="20" w:afterLines="20"/>
              <w:jc w:val="center"/>
              <w:rPr>
                <w:rFonts w:ascii="Arial" w:hAnsi="Arial" w:cs="Arial"/>
                <w:sz w:val="18"/>
                <w:szCs w:val="18"/>
                <w:lang w:val="fr-BE"/>
              </w:rPr>
            </w:pPr>
            <w:r w:rsidRPr="00CF7780">
              <w:rPr>
                <w:rFonts w:ascii="Arial" w:hAnsi="Arial" w:cs="Arial"/>
                <w:sz w:val="18"/>
                <w:szCs w:val="18"/>
                <w:lang w:val="fr-BE"/>
              </w:rPr>
              <w:t xml:space="preserve">0.0365**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rPr>
              <w:t>(0.0134)</w:t>
            </w:r>
          </w:p>
        </w:tc>
      </w:tr>
      <w:tr w:rsidR="00E656CC" w:rsidRPr="00CF7780" w:rsidTr="007214AF">
        <w:trPr>
          <w:trHeight w:val="301"/>
        </w:trPr>
        <w:tc>
          <w:tcPr>
            <w:tcW w:w="1891" w:type="dxa"/>
            <w:tcBorders>
              <w:left w:val="nil"/>
              <w:right w:val="nil"/>
            </w:tcBorders>
            <w:shd w:val="clear" w:color="auto" w:fill="D3DFEE"/>
            <w:noWrap/>
          </w:tcPr>
          <w:p w:rsidR="00E656CC" w:rsidRPr="00CF7780" w:rsidRDefault="00E656CC" w:rsidP="00250808">
            <w:pPr>
              <w:spacing w:beforeLines="20" w:afterLines="20"/>
              <w:rPr>
                <w:rFonts w:ascii="Arial" w:hAnsi="Arial" w:cs="Arial"/>
                <w:b/>
                <w:bCs/>
                <w:sz w:val="18"/>
                <w:szCs w:val="18"/>
                <w:lang w:eastAsia="es-AR"/>
              </w:rPr>
            </w:pPr>
            <w:r w:rsidRPr="00CF7780">
              <w:rPr>
                <w:rFonts w:ascii="Arial" w:hAnsi="Arial" w:cs="Arial"/>
                <w:b/>
                <w:bCs/>
                <w:sz w:val="18"/>
                <w:szCs w:val="18"/>
                <w:lang w:eastAsia="es-AR"/>
              </w:rPr>
              <w:t>_cons</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1.265**</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lang w:val="es-AR"/>
              </w:rPr>
              <w:t>(0.342)</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 xml:space="preserve">1.705**          </w:t>
            </w:r>
          </w:p>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(0.601)</w:t>
            </w:r>
          </w:p>
        </w:tc>
        <w:tc>
          <w:tcPr>
            <w:tcW w:w="1814" w:type="dxa"/>
            <w:tcBorders>
              <w:left w:val="nil"/>
              <w:right w:val="nil"/>
            </w:tcBorders>
            <w:shd w:val="clear" w:color="auto" w:fill="D3DFEE"/>
          </w:tcPr>
          <w:p w:rsidR="00E656CC" w:rsidRPr="00CF7780" w:rsidRDefault="00E656CC" w:rsidP="00250808">
            <w:pPr>
              <w:spacing w:beforeLines="20" w:afterLines="20"/>
              <w:jc w:val="center"/>
              <w:rPr>
                <w:rFonts w:ascii="Arial" w:hAnsi="Arial" w:cs="Arial"/>
                <w:kern w:val="24"/>
                <w:sz w:val="18"/>
                <w:szCs w:val="18"/>
                <w:lang w:val="es-MX"/>
              </w:rPr>
            </w:pPr>
            <w:r w:rsidRPr="00CF7780">
              <w:rPr>
                <w:rFonts w:ascii="Arial" w:hAnsi="Arial" w:cs="Arial"/>
                <w:kern w:val="24"/>
                <w:sz w:val="18"/>
                <w:szCs w:val="18"/>
                <w:lang w:val="es-MX"/>
              </w:rPr>
              <w:t xml:space="preserve">1.453***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kern w:val="24"/>
                <w:sz w:val="18"/>
                <w:szCs w:val="18"/>
                <w:lang w:val="es-MX"/>
              </w:rPr>
              <w:t>(0.337)</w:t>
            </w:r>
          </w:p>
        </w:tc>
        <w:tc>
          <w:tcPr>
            <w:tcW w:w="1814" w:type="dxa"/>
            <w:tcBorders>
              <w:left w:val="nil"/>
              <w:right w:val="nil"/>
            </w:tcBorders>
            <w:shd w:val="clear" w:color="auto" w:fill="D3DFEE"/>
            <w:noWrap/>
          </w:tcPr>
          <w:p w:rsidR="00E656CC" w:rsidRPr="00CF7780" w:rsidRDefault="00E656CC" w:rsidP="00250808">
            <w:pPr>
              <w:spacing w:beforeLines="20" w:afterLines="20"/>
              <w:jc w:val="center"/>
              <w:rPr>
                <w:rFonts w:ascii="Arial" w:hAnsi="Arial" w:cs="Arial"/>
                <w:sz w:val="18"/>
                <w:szCs w:val="18"/>
              </w:rPr>
            </w:pPr>
            <w:r w:rsidRPr="00CF7780">
              <w:rPr>
                <w:rFonts w:ascii="Arial" w:hAnsi="Arial" w:cs="Arial"/>
                <w:sz w:val="18"/>
                <w:szCs w:val="18"/>
              </w:rPr>
              <w:t xml:space="preserve">1.488***         </w:t>
            </w:r>
          </w:p>
          <w:p w:rsidR="00E656CC" w:rsidRPr="00CF7780" w:rsidRDefault="00E656CC" w:rsidP="00250808">
            <w:pPr>
              <w:spacing w:beforeLines="20" w:afterLines="20"/>
              <w:jc w:val="center"/>
              <w:rPr>
                <w:rFonts w:ascii="Arial" w:hAnsi="Arial" w:cs="Arial"/>
                <w:sz w:val="18"/>
                <w:szCs w:val="18"/>
                <w:lang w:eastAsia="es-AR"/>
              </w:rPr>
            </w:pPr>
            <w:r w:rsidRPr="00CF7780">
              <w:rPr>
                <w:rFonts w:ascii="Arial" w:hAnsi="Arial" w:cs="Arial"/>
                <w:sz w:val="18"/>
                <w:szCs w:val="18"/>
              </w:rPr>
              <w:t>(0.222)</w:t>
            </w:r>
          </w:p>
        </w:tc>
      </w:tr>
      <w:tr w:rsidR="00E656CC" w:rsidRPr="00CF7780" w:rsidTr="007214AF">
        <w:trPr>
          <w:trHeight w:val="301"/>
        </w:trPr>
        <w:tc>
          <w:tcPr>
            <w:tcW w:w="1891" w:type="dxa"/>
            <w:tcBorders>
              <w:bottom w:val="single" w:sz="8" w:space="0" w:color="4F81BD"/>
            </w:tcBorders>
            <w:noWrap/>
          </w:tcPr>
          <w:p w:rsidR="00E656CC" w:rsidRPr="00CF7780" w:rsidRDefault="00E656CC" w:rsidP="00250808">
            <w:pPr>
              <w:spacing w:beforeLines="20" w:afterLines="20"/>
              <w:rPr>
                <w:rFonts w:ascii="Arial" w:hAnsi="Arial" w:cs="Arial"/>
                <w:b/>
                <w:bCs/>
                <w:sz w:val="18"/>
                <w:szCs w:val="18"/>
                <w:lang w:eastAsia="es-AR"/>
              </w:rPr>
            </w:pPr>
          </w:p>
        </w:tc>
        <w:tc>
          <w:tcPr>
            <w:tcW w:w="1814" w:type="dxa"/>
            <w:tcBorders>
              <w:bottom w:val="single" w:sz="8" w:space="0" w:color="4F81BD"/>
            </w:tcBorders>
          </w:tcPr>
          <w:p w:rsidR="00E656CC" w:rsidRPr="00CF7780" w:rsidRDefault="00E656CC" w:rsidP="00250808">
            <w:pPr>
              <w:spacing w:beforeLines="20" w:afterLines="20"/>
              <w:jc w:val="center"/>
              <w:rPr>
                <w:rFonts w:ascii="Arial" w:hAnsi="Arial" w:cs="Arial"/>
                <w:sz w:val="18"/>
                <w:szCs w:val="18"/>
                <w:lang w:val="es-AR"/>
              </w:rPr>
            </w:pPr>
          </w:p>
        </w:tc>
        <w:tc>
          <w:tcPr>
            <w:tcW w:w="1814" w:type="dxa"/>
            <w:tcBorders>
              <w:bottom w:val="single" w:sz="8" w:space="0" w:color="4F81BD"/>
            </w:tcBorders>
            <w:noWrap/>
          </w:tcPr>
          <w:p w:rsidR="00E656CC" w:rsidRPr="00CF7780" w:rsidRDefault="00E656CC" w:rsidP="00250808">
            <w:pPr>
              <w:spacing w:beforeLines="20" w:afterLines="20"/>
              <w:jc w:val="center"/>
              <w:rPr>
                <w:rFonts w:ascii="Arial" w:hAnsi="Arial" w:cs="Arial"/>
                <w:sz w:val="18"/>
                <w:szCs w:val="18"/>
                <w:lang w:val="es-AR"/>
              </w:rPr>
            </w:pPr>
            <w:r w:rsidRPr="00CF7780">
              <w:rPr>
                <w:rFonts w:ascii="Arial" w:hAnsi="Arial" w:cs="Arial"/>
                <w:sz w:val="18"/>
                <w:szCs w:val="18"/>
                <w:lang w:val="es-AR"/>
              </w:rPr>
              <w:t>(a)</w:t>
            </w:r>
          </w:p>
        </w:tc>
        <w:tc>
          <w:tcPr>
            <w:tcW w:w="1814" w:type="dxa"/>
            <w:tcBorders>
              <w:bottom w:val="single" w:sz="8" w:space="0" w:color="4F81BD"/>
            </w:tcBorders>
          </w:tcPr>
          <w:p w:rsidR="00E656CC" w:rsidRPr="00CF7780" w:rsidRDefault="00E656CC" w:rsidP="00250808">
            <w:pPr>
              <w:spacing w:beforeLines="20" w:afterLines="20"/>
              <w:jc w:val="center"/>
              <w:rPr>
                <w:rFonts w:ascii="Arial" w:hAnsi="Arial" w:cs="Arial"/>
                <w:kern w:val="24"/>
                <w:sz w:val="18"/>
                <w:szCs w:val="18"/>
                <w:lang w:val="es-MX"/>
              </w:rPr>
            </w:pPr>
          </w:p>
        </w:tc>
        <w:tc>
          <w:tcPr>
            <w:tcW w:w="1814" w:type="dxa"/>
            <w:tcBorders>
              <w:bottom w:val="single" w:sz="8" w:space="0" w:color="4F81BD"/>
            </w:tcBorders>
            <w:noWrap/>
          </w:tcPr>
          <w:p w:rsidR="00E656CC" w:rsidRPr="00CF7780" w:rsidRDefault="00E656CC" w:rsidP="00250808">
            <w:pPr>
              <w:spacing w:beforeLines="20" w:afterLines="20"/>
              <w:jc w:val="center"/>
              <w:rPr>
                <w:rFonts w:ascii="Arial" w:hAnsi="Arial" w:cs="Arial"/>
                <w:sz w:val="18"/>
                <w:szCs w:val="18"/>
              </w:rPr>
            </w:pPr>
            <w:r w:rsidRPr="00CF7780">
              <w:rPr>
                <w:rFonts w:ascii="Arial" w:hAnsi="Arial" w:cs="Arial"/>
                <w:sz w:val="18"/>
                <w:szCs w:val="18"/>
              </w:rPr>
              <w:t>(b)</w:t>
            </w:r>
          </w:p>
        </w:tc>
      </w:tr>
    </w:tbl>
    <w:p w:rsidR="00E656CC" w:rsidRPr="00CF7780" w:rsidRDefault="00E656CC" w:rsidP="00F20A51">
      <w:pPr>
        <w:jc w:val="both"/>
        <w:rPr>
          <w:rFonts w:ascii="Arial" w:hAnsi="Arial" w:cs="Arial"/>
          <w:sz w:val="16"/>
          <w:szCs w:val="22"/>
        </w:rPr>
      </w:pPr>
      <w:r w:rsidRPr="00CF7780">
        <w:rPr>
          <w:rFonts w:ascii="Arial" w:hAnsi="Arial" w:cs="Arial"/>
          <w:sz w:val="16"/>
          <w:szCs w:val="22"/>
        </w:rPr>
        <w:t xml:space="preserve">Nota: </w:t>
      </w:r>
      <w:r w:rsidRPr="00CF7780">
        <w:rPr>
          <w:rFonts w:ascii="Arial" w:hAnsi="Arial" w:cs="Arial"/>
          <w:sz w:val="16"/>
          <w:szCs w:val="22"/>
          <w:lang w:eastAsia="es-AR"/>
        </w:rPr>
        <w:t>▪</w:t>
      </w:r>
      <w:r w:rsidRPr="00CF7780">
        <w:rPr>
          <w:rFonts w:ascii="Arial" w:hAnsi="Arial" w:cs="Arial"/>
          <w:sz w:val="16"/>
          <w:szCs w:val="22"/>
        </w:rPr>
        <w:t xml:space="preserve">p&lt;0.1, * p&lt;0.05, ** p&lt;0.01,*** p&lt;0.001. El test de Hausman arroja un </w:t>
      </w:r>
      <w:r w:rsidRPr="00CF7780">
        <w:rPr>
          <w:rFonts w:ascii="Arial" w:hAnsi="Arial" w:cs="Arial"/>
          <w:sz w:val="16"/>
          <w:szCs w:val="16"/>
        </w:rPr>
        <w:sym w:font="Symbol" w:char="F020"/>
      </w:r>
      <w:r w:rsidRPr="00CF7780">
        <w:rPr>
          <w:rFonts w:ascii="Arial" w:hAnsi="Arial" w:cs="Arial"/>
          <w:sz w:val="16"/>
          <w:szCs w:val="16"/>
        </w:rPr>
        <w:sym w:font="Symbol" w:char="F063"/>
      </w:r>
      <w:r w:rsidRPr="00CF7780">
        <w:rPr>
          <w:rFonts w:ascii="Arial" w:hAnsi="Arial" w:cs="Arial"/>
          <w:sz w:val="16"/>
          <w:szCs w:val="22"/>
          <w:vertAlign w:val="superscript"/>
        </w:rPr>
        <w:t>2</w:t>
      </w:r>
      <w:r w:rsidRPr="00CF7780">
        <w:rPr>
          <w:rFonts w:ascii="Arial" w:hAnsi="Arial" w:cs="Arial"/>
          <w:sz w:val="16"/>
          <w:szCs w:val="22"/>
        </w:rPr>
        <w:t>(7)= 52.18 (</w:t>
      </w:r>
      <w:r w:rsidRPr="00CF7780">
        <w:rPr>
          <w:rFonts w:ascii="Arial" w:hAnsi="Arial" w:cs="Arial"/>
          <w:sz w:val="16"/>
          <w:szCs w:val="16"/>
        </w:rPr>
        <w:sym w:font="Symbol" w:char="F063"/>
      </w:r>
      <w:r w:rsidRPr="00CF7780">
        <w:rPr>
          <w:rFonts w:ascii="Arial" w:hAnsi="Arial" w:cs="Arial"/>
          <w:sz w:val="16"/>
          <w:szCs w:val="22"/>
          <w:vertAlign w:val="superscript"/>
        </w:rPr>
        <w:t>2</w:t>
      </w:r>
      <w:r w:rsidRPr="00CF7780">
        <w:rPr>
          <w:rFonts w:ascii="Arial" w:hAnsi="Arial" w:cs="Arial"/>
          <w:sz w:val="16"/>
          <w:szCs w:val="22"/>
        </w:rPr>
        <w:t xml:space="preserve">(7)= 49.93 utilizando matric_u), lo que implica al nivel de significatividad de 0,001 que se rechaza la hipótesis nula, por lo que el empleo de efectos fijos es adecuado. A su vez, la prueba F(23, 244) = 11.02 (F(21, 202) = 11.06 usando matric_u) para testear la existencia de efectos fijos por año indica que a un nivel de significatividad de 0,001, se rechaza la hipótesis nula (existen efectos fijos por año). </w:t>
      </w:r>
    </w:p>
    <w:p w:rsidR="00E656CC" w:rsidRPr="00CF7780" w:rsidRDefault="00E656CC" w:rsidP="00F20A51">
      <w:pPr>
        <w:jc w:val="both"/>
        <w:rPr>
          <w:rFonts w:ascii="Arial" w:hAnsi="Arial" w:cs="Arial"/>
          <w:i/>
          <w:sz w:val="16"/>
          <w:szCs w:val="22"/>
          <w:lang w:val="fr-BE"/>
        </w:rPr>
      </w:pPr>
      <w:r w:rsidRPr="00CF7780">
        <w:rPr>
          <w:rFonts w:ascii="Arial" w:hAnsi="Arial" w:cs="Arial"/>
          <w:sz w:val="16"/>
          <w:szCs w:val="22"/>
        </w:rPr>
        <w:t xml:space="preserve">El test de Pesaran de correlación contemporánea indicó la presencia de dependencia </w:t>
      </w:r>
      <w:r w:rsidRPr="00CF7780">
        <w:rPr>
          <w:rFonts w:ascii="Arial" w:hAnsi="Arial" w:cs="Arial"/>
          <w:i/>
          <w:sz w:val="16"/>
          <w:szCs w:val="22"/>
        </w:rPr>
        <w:t>cross-sectional (</w:t>
      </w:r>
      <w:r w:rsidRPr="00CF7780">
        <w:rPr>
          <w:rFonts w:ascii="Arial" w:eastAsia="Gulim" w:hAnsi="Arial" w:cs="Arial"/>
          <w:i/>
          <w:sz w:val="16"/>
          <w:szCs w:val="22"/>
        </w:rPr>
        <w:t>α</w:t>
      </w:r>
      <w:r w:rsidRPr="00CF7780">
        <w:rPr>
          <w:rFonts w:ascii="Arial" w:eastAsia="Gulim" w:hAnsi="Arial" w:cs="Arial"/>
          <w:i/>
          <w:sz w:val="16"/>
          <w:szCs w:val="22"/>
          <w:lang w:val="es-AR"/>
        </w:rPr>
        <w:t>=</w:t>
      </w:r>
      <w:r w:rsidRPr="00CF7780">
        <w:rPr>
          <w:rFonts w:ascii="Arial" w:hAnsi="Arial" w:cs="Arial"/>
          <w:i/>
          <w:sz w:val="16"/>
          <w:szCs w:val="22"/>
        </w:rPr>
        <w:t>0.001 usando</w:t>
      </w:r>
      <w:r w:rsidRPr="00CF7780">
        <w:rPr>
          <w:rFonts w:ascii="Arial" w:hAnsi="Arial" w:cs="Arial"/>
          <w:sz w:val="16"/>
          <w:szCs w:val="22"/>
        </w:rPr>
        <w:t xml:space="preserve"> matric_snu y </w:t>
      </w:r>
      <w:r w:rsidRPr="00CF7780">
        <w:rPr>
          <w:rFonts w:ascii="Arial" w:eastAsia="Gulim" w:hAnsi="Arial" w:cs="Arial"/>
          <w:i/>
          <w:sz w:val="16"/>
          <w:szCs w:val="22"/>
        </w:rPr>
        <w:t>α</w:t>
      </w:r>
      <w:r w:rsidRPr="00CF7780">
        <w:rPr>
          <w:rFonts w:ascii="Arial" w:eastAsia="Gulim" w:hAnsi="Arial" w:cs="Arial"/>
          <w:i/>
          <w:sz w:val="16"/>
          <w:szCs w:val="22"/>
          <w:lang w:val="es-AR"/>
        </w:rPr>
        <w:t>=</w:t>
      </w:r>
      <w:r w:rsidRPr="00CF7780">
        <w:rPr>
          <w:rFonts w:ascii="Arial" w:hAnsi="Arial" w:cs="Arial"/>
          <w:i/>
          <w:sz w:val="16"/>
          <w:szCs w:val="22"/>
        </w:rPr>
        <w:t xml:space="preserve">0.1 usando </w:t>
      </w:r>
      <w:r w:rsidRPr="00CF7780">
        <w:rPr>
          <w:rFonts w:ascii="Arial" w:hAnsi="Arial" w:cs="Arial"/>
          <w:sz w:val="16"/>
          <w:szCs w:val="22"/>
        </w:rPr>
        <w:t>matric_u)</w:t>
      </w:r>
      <w:r w:rsidRPr="00CF7780">
        <w:rPr>
          <w:rFonts w:ascii="Arial" w:hAnsi="Arial" w:cs="Arial"/>
          <w:i/>
          <w:sz w:val="16"/>
          <w:szCs w:val="22"/>
        </w:rPr>
        <w:t xml:space="preserve">, </w:t>
      </w:r>
      <w:r w:rsidRPr="00CF7780">
        <w:rPr>
          <w:rFonts w:ascii="Arial" w:hAnsi="Arial" w:cs="Arial"/>
          <w:sz w:val="16"/>
          <w:szCs w:val="22"/>
        </w:rPr>
        <w:t>y</w:t>
      </w:r>
      <w:r w:rsidRPr="00CF7780">
        <w:rPr>
          <w:rFonts w:ascii="Arial" w:hAnsi="Arial" w:cs="Arial"/>
          <w:i/>
          <w:sz w:val="16"/>
          <w:szCs w:val="22"/>
        </w:rPr>
        <w:t xml:space="preserve"> </w:t>
      </w:r>
      <w:r w:rsidRPr="00CF7780">
        <w:rPr>
          <w:rFonts w:ascii="Arial" w:hAnsi="Arial" w:cs="Arial"/>
          <w:sz w:val="16"/>
          <w:szCs w:val="22"/>
        </w:rPr>
        <w:t xml:space="preserve">mediante el test de Wald, modificado para </w:t>
      </w:r>
      <w:bookmarkStart w:id="1" w:name="OLE_LINK1"/>
      <w:r w:rsidRPr="00CF7780">
        <w:rPr>
          <w:rFonts w:ascii="Arial" w:hAnsi="Arial" w:cs="Arial"/>
          <w:i/>
          <w:sz w:val="16"/>
          <w:szCs w:val="22"/>
        </w:rPr>
        <w:t>groupwise heteroskedasticity</w:t>
      </w:r>
      <w:bookmarkEnd w:id="1"/>
      <w:r w:rsidRPr="00CF7780">
        <w:rPr>
          <w:rFonts w:ascii="Arial" w:hAnsi="Arial" w:cs="Arial"/>
          <w:i/>
          <w:sz w:val="16"/>
          <w:szCs w:val="22"/>
        </w:rPr>
        <w:t xml:space="preserve">, </w:t>
      </w:r>
      <w:r w:rsidRPr="00CF7780">
        <w:rPr>
          <w:rFonts w:ascii="Arial" w:hAnsi="Arial" w:cs="Arial"/>
          <w:sz w:val="16"/>
          <w:szCs w:val="16"/>
        </w:rPr>
        <w:sym w:font="Symbol" w:char="F063"/>
      </w:r>
      <w:r w:rsidRPr="00CF7780">
        <w:rPr>
          <w:rFonts w:ascii="Arial" w:hAnsi="Arial" w:cs="Arial"/>
          <w:sz w:val="16"/>
          <w:szCs w:val="22"/>
          <w:vertAlign w:val="superscript"/>
        </w:rPr>
        <w:t>2</w:t>
      </w:r>
      <w:r w:rsidRPr="00CF7780">
        <w:rPr>
          <w:rFonts w:ascii="Arial" w:hAnsi="Arial" w:cs="Arial"/>
          <w:sz w:val="16"/>
          <w:szCs w:val="22"/>
        </w:rPr>
        <w:t xml:space="preserve"> </w:t>
      </w:r>
      <w:r w:rsidRPr="00CF7780">
        <w:rPr>
          <w:rFonts w:ascii="Arial" w:hAnsi="Arial" w:cs="Arial"/>
          <w:i/>
          <w:sz w:val="16"/>
          <w:szCs w:val="22"/>
        </w:rPr>
        <w:t>(24) = 198.53 (</w:t>
      </w:r>
      <w:r w:rsidRPr="00CF7780">
        <w:rPr>
          <w:rFonts w:ascii="Arial" w:hAnsi="Arial" w:cs="Arial"/>
          <w:sz w:val="16"/>
          <w:szCs w:val="16"/>
        </w:rPr>
        <w:sym w:font="Symbol" w:char="F063"/>
      </w:r>
      <w:r w:rsidRPr="00CF7780">
        <w:rPr>
          <w:rFonts w:ascii="Arial" w:hAnsi="Arial" w:cs="Arial"/>
          <w:sz w:val="16"/>
          <w:szCs w:val="22"/>
          <w:vertAlign w:val="superscript"/>
        </w:rPr>
        <w:t>2</w:t>
      </w:r>
      <w:r w:rsidRPr="00CF7780">
        <w:rPr>
          <w:rFonts w:ascii="Arial" w:hAnsi="Arial" w:cs="Arial"/>
          <w:sz w:val="16"/>
          <w:szCs w:val="22"/>
        </w:rPr>
        <w:t xml:space="preserve"> </w:t>
      </w:r>
      <w:r w:rsidRPr="00CF7780">
        <w:rPr>
          <w:rFonts w:ascii="Arial" w:hAnsi="Arial" w:cs="Arial"/>
          <w:i/>
          <w:sz w:val="16"/>
          <w:szCs w:val="22"/>
        </w:rPr>
        <w:t xml:space="preserve">(22) = 254.98 </w:t>
      </w:r>
      <w:r w:rsidRPr="00CF7780">
        <w:rPr>
          <w:rFonts w:ascii="Arial" w:hAnsi="Arial" w:cs="Arial"/>
          <w:sz w:val="16"/>
          <w:szCs w:val="22"/>
        </w:rPr>
        <w:t xml:space="preserve">usando matric_u) se rechaza la hipótesis nula de homoscedasticidad, por lo que corregir por heteroscedasticidad, autocorrelación y </w:t>
      </w:r>
      <w:r w:rsidRPr="00CF7780">
        <w:rPr>
          <w:rFonts w:ascii="Arial" w:hAnsi="Arial" w:cs="Arial"/>
          <w:i/>
          <w:sz w:val="16"/>
          <w:szCs w:val="22"/>
        </w:rPr>
        <w:t>cross sectional dependence</w:t>
      </w:r>
      <w:r w:rsidRPr="00CF7780">
        <w:rPr>
          <w:rFonts w:ascii="Arial" w:hAnsi="Arial" w:cs="Arial"/>
          <w:sz w:val="16"/>
          <w:szCs w:val="22"/>
        </w:rPr>
        <w:t>, se estiman errores estándar Driscoll and Kraay (cfr. Hoechle, 2007).</w:t>
      </w:r>
      <w:r w:rsidRPr="00CF7780">
        <w:rPr>
          <w:rFonts w:ascii="Arial" w:hAnsi="Arial" w:cs="Arial"/>
          <w:i/>
          <w:sz w:val="16"/>
          <w:szCs w:val="22"/>
          <w:lang w:val="fr-BE"/>
        </w:rPr>
        <w:t>(a) Instrumentos: l7.tmatric_prim l7.tmatric_sec lag7t_t_matric_snu. (b) Instrumentos: l7.tmatric_prim l7.tmatric_sec lag7t_t_matric_u.</w:t>
      </w:r>
    </w:p>
    <w:p w:rsidR="00E656CC" w:rsidRPr="00CF7780" w:rsidRDefault="00E656CC" w:rsidP="00D23DCC">
      <w:pPr>
        <w:spacing w:before="100" w:beforeAutospacing="1" w:after="100" w:afterAutospacing="1"/>
        <w:ind w:firstLine="851"/>
        <w:jc w:val="both"/>
        <w:rPr>
          <w:rFonts w:ascii="Arial" w:hAnsi="Arial" w:cs="Arial"/>
          <w:sz w:val="24"/>
          <w:szCs w:val="24"/>
          <w:lang w:val="es-AR"/>
        </w:rPr>
      </w:pPr>
      <w:r w:rsidRPr="00CF7780">
        <w:rPr>
          <w:rFonts w:ascii="Arial" w:hAnsi="Arial" w:cs="Arial"/>
          <w:sz w:val="22"/>
          <w:szCs w:val="22"/>
        </w:rPr>
        <w:t xml:space="preserve">Este trabajo utiliza la estimación de variables instrumentales (VI) para superar por esta vía el problema de posible </w:t>
      </w:r>
      <w:r w:rsidRPr="00CF7780">
        <w:rPr>
          <w:rFonts w:ascii="Arial" w:hAnsi="Arial" w:cs="Arial"/>
          <w:sz w:val="22"/>
          <w:szCs w:val="22"/>
          <w:lang w:val="es-AR" w:eastAsia="es-ES"/>
        </w:rPr>
        <w:t>causalidad inversa</w:t>
      </w:r>
      <w:r w:rsidRPr="00CF7780">
        <w:rPr>
          <w:rFonts w:ascii="Arial" w:hAnsi="Arial" w:cs="Arial"/>
          <w:sz w:val="22"/>
          <w:szCs w:val="22"/>
        </w:rPr>
        <w:t xml:space="preserve">. Un </w:t>
      </w:r>
      <w:r w:rsidRPr="00CF7780">
        <w:rPr>
          <w:rFonts w:ascii="Arial" w:hAnsi="Arial" w:cs="Arial"/>
          <w:i/>
          <w:sz w:val="22"/>
          <w:szCs w:val="22"/>
        </w:rPr>
        <w:t>instrumento</w:t>
      </w:r>
      <w:r w:rsidRPr="00CF7780">
        <w:rPr>
          <w:rFonts w:ascii="Arial" w:hAnsi="Arial" w:cs="Arial"/>
          <w:sz w:val="22"/>
          <w:szCs w:val="22"/>
        </w:rPr>
        <w:t xml:space="preserve"> tiene que cumplir dos criterios para ser válido. En primer lugar, tiene que estar correlacionado con la variable a instrumentar (capital humano), y en segundo lugar, no debe correlacionarse con el término de error de la ecuación original. </w:t>
      </w:r>
      <w:r w:rsidRPr="00CF7780">
        <w:rPr>
          <w:sz w:val="24"/>
          <w:szCs w:val="24"/>
          <w:lang w:val="es-AR"/>
        </w:rPr>
        <w:t xml:space="preserve"> </w:t>
      </w:r>
    </w:p>
    <w:p w:rsidR="00E656CC" w:rsidRPr="00CF7780" w:rsidRDefault="00E656CC" w:rsidP="002E7300">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Las regresiones de la Columnas 2 y 4 son las mismas que las de la Columnas 1 y 3, excepto que se emplean los valores rezagados -siguiendo a Barro (1994) y Barro (2013)- de algunas variables explicativas como instrumentos, para considerar la posible endogeneidad de estas variables. </w:t>
      </w:r>
    </w:p>
    <w:p w:rsidR="00E656CC" w:rsidRPr="00CF7780" w:rsidRDefault="00E656CC" w:rsidP="00F3415B">
      <w:pPr>
        <w:suppressAutoHyphens/>
        <w:spacing w:before="100" w:beforeAutospacing="1" w:after="100" w:afterAutospacing="1"/>
        <w:ind w:firstLine="709"/>
        <w:jc w:val="both"/>
        <w:rPr>
          <w:rFonts w:ascii="Arial" w:hAnsi="Arial" w:cs="Arial"/>
          <w:sz w:val="22"/>
          <w:szCs w:val="22"/>
        </w:rPr>
      </w:pPr>
      <w:r w:rsidRPr="00CF7780">
        <w:rPr>
          <w:rFonts w:ascii="Arial" w:hAnsi="Arial" w:cs="Arial"/>
          <w:sz w:val="22"/>
          <w:szCs w:val="22"/>
        </w:rPr>
        <w:t>El coefici</w:t>
      </w:r>
      <w:r w:rsidRPr="00CF7780">
        <w:rPr>
          <w:rFonts w:ascii="Arial" w:hAnsi="Arial" w:cs="Arial"/>
          <w:sz w:val="22"/>
          <w:szCs w:val="22"/>
          <w:lang w:eastAsia="es-AR"/>
        </w:rPr>
        <w:t xml:space="preserve">ente asociado al logaritmo del PBG-inicial (l5.logpbgpc) muestra la tendencia a convergencia condicional reportada en la sección anterior; la magnitud de los coeficientes indica que la convergencia estimada utilizando VI ocurre a una velocidad más alta que la estimada previamente. </w:t>
      </w:r>
    </w:p>
    <w:p w:rsidR="00E656CC" w:rsidRPr="00CF7780" w:rsidRDefault="00E656CC" w:rsidP="002C10A3">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Las estimaciones muestran que los resultados en relación a las variables educativas – medidas en la forma de flujo (empleando la tasa de matriculación en los distintos niveles educativos, es decir, primario, secundario, superior no universitario y superior universitario; l5.tmatric_prim, l5.tmatric_sec, l5.t_matric_snu, l5.t_matric_u respectivamente)- se mantienen en relación a las estimaciones de las columnas 1 y 3: sólo la educación secundaria y superior muestran una relación positiva y significativa en la tasa de crecimiento del PBGpc. </w:t>
      </w:r>
    </w:p>
    <w:p w:rsidR="00E656CC" w:rsidRPr="00CF7780" w:rsidRDefault="00E656CC" w:rsidP="00087568">
      <w:pPr>
        <w:spacing w:before="100" w:beforeAutospacing="1" w:after="100" w:afterAutospacing="1"/>
        <w:ind w:firstLine="851"/>
        <w:jc w:val="both"/>
        <w:rPr>
          <w:rFonts w:ascii="Arial" w:hAnsi="Arial" w:cs="Arial"/>
          <w:sz w:val="22"/>
          <w:szCs w:val="22"/>
        </w:rPr>
      </w:pPr>
      <w:r w:rsidRPr="00CF7780">
        <w:rPr>
          <w:rFonts w:ascii="Arial" w:hAnsi="Arial" w:cs="Arial"/>
          <w:sz w:val="22"/>
          <w:szCs w:val="22"/>
        </w:rPr>
        <w:t xml:space="preserve">Se observa el coeficiente asociado a la tasa bruta de mortalidad infantil (l5.mort) es negativo y significativo, lo que implicaría que una disminución en dicha tasa redundaría en más capital humano y por ende, mayor crecimiento económico. </w:t>
      </w:r>
    </w:p>
    <w:p w:rsidR="00E656CC" w:rsidRPr="00CF7780" w:rsidRDefault="00E656CC" w:rsidP="00087568">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El ratio de la inversión (GD5, Construcción) sobre el PBG de cada provincia (l5.gd5_pbg) entra en la regresión rezagada cinco años. El coeficiente estimado es significativo y positivo, como es de esperar en una regresión típica de crecimiento, en el caso en el que se considera la tasa de matriculación del nivel educativo máximo como superior no universitario. Dicho valor implica que un incremento de 10 puntos porcentuales en el ratio incrementa la tasa de crecimiento en 3.6 puntos porcentuales. La pérdida de significatividad en la regresión de la columna 4, podría deberse a la mayor acumulación de capital (humano) que implica la universidad versus la formación superior no universitaria. </w:t>
      </w:r>
    </w:p>
    <w:p w:rsidR="00E656CC" w:rsidRPr="00CF7780" w:rsidRDefault="00E656CC" w:rsidP="00087568">
      <w:pPr>
        <w:spacing w:before="100" w:beforeAutospacing="1" w:after="100" w:afterAutospacing="1"/>
        <w:ind w:firstLine="709"/>
        <w:jc w:val="both"/>
        <w:rPr>
          <w:rFonts w:ascii="Arial" w:hAnsi="Arial" w:cs="Arial"/>
          <w:sz w:val="22"/>
          <w:szCs w:val="22"/>
        </w:rPr>
      </w:pPr>
      <w:r w:rsidRPr="00CF7780">
        <w:rPr>
          <w:rFonts w:ascii="Arial" w:hAnsi="Arial" w:cs="Arial"/>
          <w:sz w:val="22"/>
          <w:szCs w:val="22"/>
        </w:rPr>
        <w:t xml:space="preserve">Finalmente, el déficit fiscal en relación al gasto total (l5.dFiscal_GT), tiene un valor positivo y significativo, mostrando que en el periodo analizado las políticas fiscales expansivas tienen efecto positivo sobre el crecimiento económico.  </w:t>
      </w:r>
    </w:p>
    <w:p w:rsidR="00E656CC" w:rsidRPr="00CF7780" w:rsidRDefault="00E656CC" w:rsidP="005B48BA">
      <w:pPr>
        <w:pStyle w:val="Heading2"/>
        <w:keepLines/>
        <w:numPr>
          <w:ilvl w:val="0"/>
          <w:numId w:val="0"/>
        </w:numPr>
        <w:spacing w:before="480" w:after="100" w:afterAutospacing="1"/>
        <w:ind w:left="454" w:hanging="397"/>
        <w:rPr>
          <w:rFonts w:cs="Arial"/>
          <w:sz w:val="22"/>
          <w:szCs w:val="22"/>
          <w:lang w:val="es-AR"/>
        </w:rPr>
      </w:pPr>
      <w:r w:rsidRPr="00CF7780">
        <w:rPr>
          <w:rFonts w:cs="Arial"/>
          <w:sz w:val="22"/>
          <w:szCs w:val="22"/>
          <w:lang w:val="es-AR"/>
        </w:rPr>
        <w:t xml:space="preserve">VII. Conclusiones </w:t>
      </w:r>
    </w:p>
    <w:p w:rsidR="00E656CC" w:rsidRPr="00764A6F" w:rsidRDefault="00E656CC" w:rsidP="00F23CD6">
      <w:pPr>
        <w:spacing w:before="100" w:beforeAutospacing="1" w:after="100" w:afterAutospacing="1"/>
        <w:ind w:firstLine="709"/>
        <w:jc w:val="both"/>
        <w:rPr>
          <w:rFonts w:ascii="Arial" w:hAnsi="Arial" w:cs="Arial"/>
          <w:i/>
          <w:sz w:val="22"/>
          <w:szCs w:val="22"/>
        </w:rPr>
      </w:pPr>
      <w:r w:rsidRPr="00764A6F">
        <w:rPr>
          <w:rFonts w:ascii="Arial" w:hAnsi="Arial" w:cs="Arial"/>
          <w:sz w:val="22"/>
          <w:szCs w:val="22"/>
        </w:rPr>
        <w:t xml:space="preserve">Como sabemos, la mayor parte de la literatura ha mostrado evidencia empírica en favor de la </w:t>
      </w:r>
      <w:r w:rsidRPr="00764A6F">
        <w:rPr>
          <w:rFonts w:ascii="Arial" w:hAnsi="Arial" w:cs="Arial"/>
          <w:b/>
          <w:sz w:val="22"/>
          <w:szCs w:val="22"/>
        </w:rPr>
        <w:t>convergencia condicional</w:t>
      </w:r>
      <w:r w:rsidRPr="00764A6F">
        <w:rPr>
          <w:rFonts w:ascii="Arial" w:hAnsi="Arial" w:cs="Arial"/>
          <w:i/>
          <w:sz w:val="22"/>
          <w:szCs w:val="22"/>
        </w:rPr>
        <w:t xml:space="preserve"> en el ámbito internacional</w:t>
      </w:r>
      <w:r w:rsidRPr="00764A6F">
        <w:rPr>
          <w:rFonts w:ascii="Arial" w:hAnsi="Arial" w:cs="Arial"/>
          <w:sz w:val="22"/>
          <w:szCs w:val="22"/>
        </w:rPr>
        <w:t xml:space="preserve"> y</w:t>
      </w:r>
      <w:r w:rsidRPr="00764A6F">
        <w:rPr>
          <w:rFonts w:ascii="Arial" w:hAnsi="Arial" w:cs="Arial"/>
          <w:b/>
          <w:i/>
          <w:sz w:val="22"/>
          <w:szCs w:val="22"/>
        </w:rPr>
        <w:t xml:space="preserve"> convergencia absoluta a escala regional</w:t>
      </w:r>
      <w:r w:rsidRPr="00764A6F">
        <w:rPr>
          <w:rFonts w:ascii="Arial" w:hAnsi="Arial" w:cs="Arial"/>
          <w:sz w:val="22"/>
          <w:szCs w:val="22"/>
        </w:rPr>
        <w:t xml:space="preserve">. Sin embargo, en el caso argentino en particular, diversos estudios previos a este ensayo han señalado que </w:t>
      </w:r>
      <w:r w:rsidRPr="00764A6F">
        <w:rPr>
          <w:rFonts w:ascii="Arial" w:hAnsi="Arial" w:cs="Arial"/>
          <w:b/>
          <w:sz w:val="22"/>
          <w:szCs w:val="22"/>
        </w:rPr>
        <w:t xml:space="preserve">la convergencia parece existir </w:t>
      </w:r>
      <w:r w:rsidRPr="00764A6F">
        <w:rPr>
          <w:rFonts w:ascii="Arial" w:hAnsi="Arial" w:cs="Arial"/>
          <w:sz w:val="22"/>
          <w:szCs w:val="22"/>
        </w:rPr>
        <w:t xml:space="preserve">(hasta fines del siglo XX) </w:t>
      </w:r>
      <w:r w:rsidRPr="00764A6F">
        <w:rPr>
          <w:rFonts w:ascii="Arial" w:hAnsi="Arial" w:cs="Arial"/>
          <w:b/>
          <w:sz w:val="22"/>
          <w:szCs w:val="22"/>
        </w:rPr>
        <w:t xml:space="preserve">entre provincias, </w:t>
      </w:r>
      <w:r w:rsidRPr="00764A6F">
        <w:rPr>
          <w:rFonts w:ascii="Arial" w:hAnsi="Arial" w:cs="Arial"/>
          <w:b/>
          <w:i/>
          <w:sz w:val="22"/>
          <w:szCs w:val="22"/>
        </w:rPr>
        <w:t>si bien condicionada</w:t>
      </w:r>
      <w:r w:rsidRPr="00764A6F">
        <w:rPr>
          <w:rFonts w:ascii="Arial" w:hAnsi="Arial" w:cs="Arial"/>
          <w:i/>
          <w:sz w:val="22"/>
          <w:szCs w:val="22"/>
        </w:rPr>
        <w:t xml:space="preserve"> (y no absoluta, pese a tratarse de un ámbito sub-nacional).</w:t>
      </w:r>
    </w:p>
    <w:p w:rsidR="00E656CC" w:rsidRPr="00764A6F" w:rsidRDefault="00E656CC" w:rsidP="00F23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hAnsi="Arial" w:cs="Arial"/>
          <w:sz w:val="22"/>
          <w:szCs w:val="22"/>
          <w:lang w:eastAsia="es-AR"/>
        </w:rPr>
      </w:pPr>
      <w:r w:rsidRPr="00764A6F">
        <w:rPr>
          <w:rFonts w:ascii="Arial" w:hAnsi="Arial" w:cs="Arial"/>
          <w:sz w:val="22"/>
          <w:szCs w:val="22"/>
          <w:lang w:eastAsia="es-AR"/>
        </w:rPr>
        <w:tab/>
        <w:t xml:space="preserve">Ahora bien, el objetivo de esta investigación en particular ha sido avanzar, como un nuevo aporte empírico, por el sendero de estudiar la relación del </w:t>
      </w:r>
      <w:r w:rsidRPr="00764A6F">
        <w:rPr>
          <w:rFonts w:ascii="Arial" w:hAnsi="Arial"/>
          <w:b/>
          <w:sz w:val="22"/>
        </w:rPr>
        <w:t>capital humano como determinante de la tasa de crecimiento</w:t>
      </w:r>
      <w:r w:rsidRPr="00764A6F">
        <w:rPr>
          <w:rFonts w:ascii="Arial" w:hAnsi="Arial" w:cs="Arial"/>
          <w:sz w:val="22"/>
          <w:szCs w:val="22"/>
          <w:lang w:eastAsia="es-AR"/>
        </w:rPr>
        <w:t xml:space="preserve">. En este camino, y </w:t>
      </w:r>
      <w:r w:rsidRPr="00764A6F">
        <w:rPr>
          <w:rFonts w:ascii="Arial" w:hAnsi="Arial"/>
          <w:b/>
          <w:sz w:val="22"/>
        </w:rPr>
        <w:t xml:space="preserve">trabajando a nivel de provincias argentinas, exploramos la causalidad en un intento de investigar </w:t>
      </w:r>
      <w:r w:rsidRPr="00764A6F">
        <w:rPr>
          <w:rFonts w:ascii="Arial" w:hAnsi="Arial" w:cs="Arial"/>
          <w:b/>
          <w:sz w:val="22"/>
          <w:szCs w:val="22"/>
          <w:lang w:eastAsia="es-AR"/>
        </w:rPr>
        <w:t>el proceso de</w:t>
      </w:r>
      <w:r w:rsidRPr="00764A6F">
        <w:rPr>
          <w:rFonts w:ascii="Arial" w:hAnsi="Arial"/>
          <w:b/>
          <w:sz w:val="22"/>
        </w:rPr>
        <w:t xml:space="preserve"> convergencia</w:t>
      </w:r>
      <w:r w:rsidRPr="00764A6F">
        <w:rPr>
          <w:rFonts w:ascii="Arial" w:hAnsi="Arial" w:cs="Arial"/>
          <w:b/>
          <w:sz w:val="22"/>
          <w:szCs w:val="22"/>
          <w:lang w:eastAsia="es-AR"/>
        </w:rPr>
        <w:t xml:space="preserve"> beta.</w:t>
      </w:r>
      <w:r w:rsidRPr="00764A6F">
        <w:rPr>
          <w:rFonts w:ascii="Arial" w:hAnsi="Arial" w:cs="Arial"/>
          <w:sz w:val="22"/>
          <w:szCs w:val="22"/>
          <w:lang w:eastAsia="es-AR"/>
        </w:rPr>
        <w:t xml:space="preserve"> </w:t>
      </w:r>
    </w:p>
    <w:p w:rsidR="00E656CC" w:rsidRPr="00764A6F" w:rsidRDefault="00E656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hAnsi="Arial" w:cs="Arial"/>
          <w:sz w:val="22"/>
          <w:szCs w:val="22"/>
        </w:rPr>
      </w:pPr>
      <w:r w:rsidRPr="00764A6F">
        <w:rPr>
          <w:rFonts w:ascii="Arial" w:hAnsi="Arial" w:cs="Arial"/>
          <w:sz w:val="22"/>
          <w:szCs w:val="22"/>
        </w:rPr>
        <w:tab/>
        <w:t xml:space="preserve">En concreto, el trabajo utiliza datos de panel de las provincias argentinas en el periodo 1996-2014, para estimar un modelo de crecimiento </w:t>
      </w:r>
      <w:r w:rsidRPr="00764A6F">
        <w:rPr>
          <w:rFonts w:ascii="Arial" w:hAnsi="Arial" w:cs="Arial"/>
          <w:i/>
          <w:sz w:val="22"/>
          <w:szCs w:val="22"/>
        </w:rPr>
        <w:t>à la Barro</w:t>
      </w:r>
      <w:r w:rsidRPr="00764A6F">
        <w:rPr>
          <w:rFonts w:ascii="Arial" w:hAnsi="Arial" w:cs="Arial"/>
          <w:sz w:val="22"/>
          <w:szCs w:val="22"/>
        </w:rPr>
        <w:t xml:space="preserve"> utilizando el método de efectos fijos y empleando variables instrumentales, para superar los problemas de posible endogeneidad o causalidad inversa en las regresiones de crecimiento. </w:t>
      </w:r>
    </w:p>
    <w:p w:rsidR="00E656CC" w:rsidRPr="00764A6F" w:rsidRDefault="00E656CC" w:rsidP="001D2B66">
      <w:pPr>
        <w:pStyle w:val="BodyTextIndent2"/>
        <w:spacing w:before="100" w:beforeAutospacing="1" w:after="100" w:afterAutospacing="1"/>
        <w:ind w:left="0" w:firstLine="708"/>
        <w:jc w:val="both"/>
        <w:rPr>
          <w:rFonts w:ascii="Arial" w:hAnsi="Arial" w:cs="Arial"/>
          <w:i w:val="0"/>
          <w:sz w:val="22"/>
          <w:szCs w:val="22"/>
        </w:rPr>
      </w:pPr>
      <w:r w:rsidRPr="00764A6F">
        <w:rPr>
          <w:rFonts w:ascii="Arial" w:hAnsi="Arial" w:cs="Arial"/>
          <w:i w:val="0"/>
          <w:sz w:val="22"/>
          <w:szCs w:val="22"/>
        </w:rPr>
        <w:t xml:space="preserve">Las diferencias en las tasas de crecimiento entre las provincias argentinas dependen de un conjunto de variables. El elemento clave es el término de convergencia, que indica que existe un efecto positivo sobre el crecimiento cuando el nivel de PBG per cápita inicial es bajo, manteniendo las demás variables explicativas constantes. </w:t>
      </w:r>
    </w:p>
    <w:p w:rsidR="00E656CC" w:rsidRPr="00CF7780" w:rsidRDefault="00E656CC" w:rsidP="001D2B66">
      <w:pPr>
        <w:pStyle w:val="BodyTextIndent2"/>
        <w:spacing w:before="100" w:beforeAutospacing="1" w:after="100" w:afterAutospacing="1"/>
        <w:ind w:left="0" w:firstLine="708"/>
        <w:jc w:val="both"/>
        <w:rPr>
          <w:rFonts w:ascii="Arial" w:hAnsi="Arial" w:cs="Arial"/>
          <w:i w:val="0"/>
          <w:sz w:val="22"/>
          <w:szCs w:val="22"/>
        </w:rPr>
      </w:pPr>
      <w:r w:rsidRPr="00764A6F">
        <w:rPr>
          <w:rFonts w:ascii="Arial" w:hAnsi="Arial" w:cs="Arial"/>
          <w:i w:val="0"/>
          <w:sz w:val="22"/>
          <w:szCs w:val="22"/>
        </w:rPr>
        <w:t>Las variables que reflejan el capital – ya sea físico o humano- son, como era de esperar, determinantes de importancia del crecimiento del PBG per cápita. La investigación obtiene resultados que implican que el crecimiento económico está positivamente relacionado a los niveles iniciales de educación secundaria y superior.  El resultado sugeriría que la misma tiene un rol importante en la difusión y absorción de tecnologías más avanzadas;  ya que éstas probablemente sean complementarias a la mano de obra educada a estos niveles de formación más avanzados. La tasa de matriculación en educación primaria no resulta tener una influencia significativa en el crecimiento económico, sin embargo, es importante tener en cuenta que la educación primaria es un requisito imprescindible para asistir a niveles educativos superiores por lo que existe un canal de conexión con el crecimiento económico.</w:t>
      </w:r>
      <w:r w:rsidRPr="00CF7780">
        <w:rPr>
          <w:rFonts w:ascii="Arial" w:hAnsi="Arial" w:cs="Arial"/>
          <w:i w:val="0"/>
          <w:sz w:val="22"/>
          <w:szCs w:val="22"/>
        </w:rPr>
        <w:t xml:space="preserve"> </w:t>
      </w:r>
    </w:p>
    <w:p w:rsidR="00E656CC" w:rsidRPr="00CF7780" w:rsidRDefault="00E656CC" w:rsidP="002E7300">
      <w:pPr>
        <w:spacing w:before="100" w:beforeAutospacing="1" w:after="100" w:afterAutospacing="1"/>
        <w:jc w:val="both"/>
        <w:rPr>
          <w:rFonts w:ascii="Arial" w:hAnsi="Arial" w:cs="Arial"/>
          <w:sz w:val="22"/>
          <w:szCs w:val="22"/>
          <w:lang w:val="es-ES_tradnl"/>
        </w:rPr>
      </w:pPr>
    </w:p>
    <w:p w:rsidR="00E656CC" w:rsidRPr="00CF7780" w:rsidRDefault="00E656CC" w:rsidP="002E7300">
      <w:pPr>
        <w:spacing w:before="100" w:beforeAutospacing="1" w:after="100" w:afterAutospacing="1"/>
        <w:jc w:val="both"/>
        <w:rPr>
          <w:rFonts w:ascii="Arial" w:hAnsi="Arial" w:cs="Arial"/>
          <w:b/>
          <w:sz w:val="22"/>
          <w:szCs w:val="22"/>
          <w:lang w:val="es-AR"/>
        </w:rPr>
      </w:pPr>
      <w:r w:rsidRPr="00CF7780">
        <w:rPr>
          <w:rFonts w:ascii="Arial" w:hAnsi="Arial" w:cs="Arial"/>
          <w:b/>
          <w:sz w:val="22"/>
          <w:szCs w:val="22"/>
          <w:lang w:val="es-AR"/>
        </w:rPr>
        <w:t>Bibliografía</w:t>
      </w:r>
    </w:p>
    <w:p w:rsidR="00E656CC" w:rsidRPr="00CF7780" w:rsidRDefault="00E656CC" w:rsidP="000D404D">
      <w:pPr>
        <w:ind w:left="709" w:hanging="709"/>
        <w:jc w:val="both"/>
        <w:rPr>
          <w:rFonts w:ascii="Arial" w:hAnsi="Arial" w:cs="Arial"/>
          <w:sz w:val="22"/>
          <w:szCs w:val="22"/>
        </w:rPr>
      </w:pPr>
      <w:r w:rsidRPr="00CF7780">
        <w:rPr>
          <w:rFonts w:ascii="Arial" w:hAnsi="Arial" w:cs="Arial"/>
          <w:sz w:val="22"/>
          <w:szCs w:val="22"/>
        </w:rPr>
        <w:t>Arrazola, M. y de Hevia J. (2001). “Análisis empírico de la depreciación del capital humano para el caso de mujeres y hombres en España”, Papeles de Trabajo 27/01, Instituto de Estudios Fiscales.</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s-ES_tradnl"/>
        </w:rPr>
        <w:t xml:space="preserve">Barro R. J. y Sala-i-Martín, X. (1992). </w:t>
      </w:r>
      <w:r w:rsidRPr="00CF7780">
        <w:rPr>
          <w:rFonts w:ascii="Arial" w:hAnsi="Arial" w:cs="Arial"/>
          <w:sz w:val="22"/>
          <w:szCs w:val="22"/>
          <w:lang w:val="en-US"/>
        </w:rPr>
        <w:t xml:space="preserve">“Convergence”. </w:t>
      </w:r>
      <w:r w:rsidRPr="00CF7780">
        <w:rPr>
          <w:rFonts w:ascii="Arial" w:hAnsi="Arial" w:cs="Arial"/>
          <w:i/>
          <w:sz w:val="22"/>
          <w:szCs w:val="22"/>
          <w:lang w:val="en-US"/>
        </w:rPr>
        <w:t>The Journal of Political Economy,</w:t>
      </w:r>
      <w:r w:rsidRPr="00CF7780">
        <w:rPr>
          <w:rFonts w:ascii="Arial" w:hAnsi="Arial" w:cs="Arial"/>
          <w:sz w:val="22"/>
          <w:szCs w:val="22"/>
          <w:lang w:val="en-US"/>
        </w:rPr>
        <w:t xml:space="preserve"> Vol. 100, n. 2, pp. 223-251.</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Barro, R. J. (2013). “Education and Economic Growth”. </w:t>
      </w:r>
      <w:r w:rsidRPr="00CF7780">
        <w:rPr>
          <w:rFonts w:ascii="Arial" w:hAnsi="Arial" w:cs="Arial"/>
          <w:i/>
          <w:sz w:val="22"/>
          <w:szCs w:val="22"/>
          <w:lang w:val="en-US"/>
        </w:rPr>
        <w:t>Annals of Economics and Finance,</w:t>
      </w:r>
      <w:r w:rsidRPr="00CF7780">
        <w:rPr>
          <w:rFonts w:ascii="Arial" w:hAnsi="Arial" w:cs="Arial"/>
          <w:sz w:val="22"/>
          <w:szCs w:val="22"/>
          <w:lang w:val="en-US"/>
        </w:rPr>
        <w:t xml:space="preserve"> Vol. 14-2, pp. 301–328.</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rPr>
        <w:t xml:space="preserve">Barro, R. J. y Lee, J. (1994). </w:t>
      </w:r>
      <w:r w:rsidRPr="00CF7780">
        <w:rPr>
          <w:rFonts w:ascii="Arial" w:hAnsi="Arial" w:cs="Arial"/>
          <w:sz w:val="22"/>
          <w:szCs w:val="22"/>
          <w:lang w:val="en-US"/>
        </w:rPr>
        <w:t xml:space="preserve">"Sources of economic growth". </w:t>
      </w:r>
      <w:r w:rsidRPr="00CF7780">
        <w:rPr>
          <w:rFonts w:ascii="Arial" w:hAnsi="Arial" w:cs="Arial"/>
          <w:i/>
          <w:sz w:val="22"/>
          <w:szCs w:val="22"/>
          <w:lang w:val="en-US"/>
        </w:rPr>
        <w:t>Carnegie-Rochester Conference Series on Public Policy,</w:t>
      </w:r>
      <w:r w:rsidRPr="00CF7780">
        <w:rPr>
          <w:rFonts w:ascii="Arial" w:hAnsi="Arial" w:cs="Arial"/>
          <w:sz w:val="22"/>
          <w:szCs w:val="22"/>
          <w:lang w:val="en-US"/>
        </w:rPr>
        <w:t xml:space="preserve"> Elsevier, vol. 40(1), pp. 1-46.</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Becker, G. S. (1964). “Human Capital: A Theoretical and Empirical Analysis, With Special Reference to Education”. New York, National Bureau of Economic Research.</w:t>
      </w:r>
    </w:p>
    <w:p w:rsidR="00E656CC" w:rsidRPr="00CF7780" w:rsidRDefault="00E656CC" w:rsidP="000D404D">
      <w:pPr>
        <w:ind w:left="709" w:hanging="709"/>
        <w:jc w:val="both"/>
        <w:rPr>
          <w:rFonts w:ascii="Arial" w:hAnsi="Arial" w:cs="Arial"/>
          <w:sz w:val="22"/>
          <w:szCs w:val="22"/>
          <w:lang w:val="en-US"/>
        </w:rPr>
      </w:pPr>
      <w:r w:rsidRPr="009829D6">
        <w:rPr>
          <w:rFonts w:ascii="Arial" w:hAnsi="Arial"/>
          <w:sz w:val="22"/>
          <w:lang w:val="en-US"/>
        </w:rPr>
        <w:t xml:space="preserve">Bils M. y Klenow, P. (2000). </w:t>
      </w:r>
      <w:r w:rsidRPr="00CF7780">
        <w:rPr>
          <w:rFonts w:ascii="Arial" w:hAnsi="Arial" w:cs="Arial"/>
          <w:sz w:val="22"/>
          <w:szCs w:val="22"/>
          <w:lang w:val="en-US"/>
        </w:rPr>
        <w:t xml:space="preserve">"Does Schooling Cause Growth?". </w:t>
      </w:r>
      <w:r w:rsidRPr="00CF7780">
        <w:rPr>
          <w:rFonts w:ascii="Arial" w:hAnsi="Arial" w:cs="Arial"/>
          <w:i/>
          <w:sz w:val="22"/>
          <w:szCs w:val="22"/>
          <w:lang w:val="en-US"/>
        </w:rPr>
        <w:t>American Economic Review, American Economic Association,</w:t>
      </w:r>
      <w:r w:rsidRPr="00CF7780">
        <w:rPr>
          <w:rFonts w:ascii="Arial" w:hAnsi="Arial" w:cs="Arial"/>
          <w:sz w:val="22"/>
          <w:szCs w:val="22"/>
          <w:lang w:val="en-US"/>
        </w:rPr>
        <w:t xml:space="preserve"> vol. 90(5), pp. 1160-1183.</w:t>
      </w:r>
    </w:p>
    <w:p w:rsidR="00E656CC" w:rsidRPr="00CF7780" w:rsidRDefault="00E656CC" w:rsidP="000D404D">
      <w:pPr>
        <w:ind w:left="709" w:hanging="709"/>
        <w:jc w:val="both"/>
        <w:rPr>
          <w:rFonts w:ascii="Arial" w:hAnsi="Arial" w:cs="Arial"/>
          <w:sz w:val="22"/>
          <w:szCs w:val="22"/>
        </w:rPr>
      </w:pPr>
      <w:r w:rsidRPr="00CF7780">
        <w:rPr>
          <w:rFonts w:ascii="Arial" w:hAnsi="Arial" w:cs="Arial"/>
          <w:bCs/>
          <w:noProof/>
          <w:sz w:val="22"/>
          <w:szCs w:val="22"/>
          <w:lang w:val="es-AR"/>
        </w:rPr>
        <w:t xml:space="preserve">Capello, M. , Figueras, A., Moncarz, P. y Freille, S. (2010). </w:t>
      </w:r>
      <w:r w:rsidRPr="00CF7780">
        <w:rPr>
          <w:rFonts w:ascii="Arial" w:hAnsi="Arial" w:cs="Arial"/>
          <w:bCs/>
          <w:noProof/>
          <w:sz w:val="22"/>
          <w:szCs w:val="22"/>
        </w:rPr>
        <w:t>“Transferencias fiscales a provincias y convergencia en variables económicas”</w:t>
      </w:r>
      <w:r w:rsidRPr="00CF7780" w:rsidDel="007A503E">
        <w:rPr>
          <w:rFonts w:ascii="Arial" w:hAnsi="Arial" w:cs="Arial"/>
          <w:bCs/>
          <w:noProof/>
          <w:sz w:val="22"/>
          <w:szCs w:val="22"/>
        </w:rPr>
        <w:t>,</w:t>
      </w:r>
      <w:r w:rsidRPr="00CF7780">
        <w:rPr>
          <w:rFonts w:ascii="Arial" w:hAnsi="Arial" w:cs="Arial"/>
          <w:bCs/>
          <w:noProof/>
          <w:sz w:val="22"/>
          <w:szCs w:val="22"/>
        </w:rPr>
        <w:t>. 43º Jornadas Internacionales de Finanzas Públicas, UNC, Córdoba.</w:t>
      </w:r>
    </w:p>
    <w:p w:rsidR="00E656CC" w:rsidRPr="00CF7780" w:rsidRDefault="00E656CC" w:rsidP="000D404D">
      <w:pPr>
        <w:ind w:left="709" w:hanging="709"/>
        <w:jc w:val="both"/>
        <w:rPr>
          <w:rFonts w:ascii="Arial" w:hAnsi="Arial" w:cs="Arial"/>
          <w:noProof/>
          <w:sz w:val="22"/>
          <w:szCs w:val="22"/>
        </w:rPr>
      </w:pPr>
      <w:r w:rsidRPr="00CF7780">
        <w:rPr>
          <w:rFonts w:ascii="Arial" w:hAnsi="Arial" w:cs="Arial"/>
          <w:sz w:val="22"/>
          <w:szCs w:val="22"/>
          <w:lang w:val="es-AR"/>
        </w:rPr>
        <w:t>Capello, M., A. Figueras, S. Freille y P. Moncarz (2009). “Transferencias fiscales a provincias y eficacia del gasto subnacional en Argentina”, 42º</w:t>
      </w:r>
      <w:r w:rsidRPr="00CF7780">
        <w:rPr>
          <w:rFonts w:ascii="Arial" w:hAnsi="Arial" w:cs="Arial"/>
          <w:sz w:val="22"/>
          <w:szCs w:val="22"/>
          <w:lang w:val="es-ES_tradnl"/>
        </w:rPr>
        <w:t xml:space="preserve"> Jornadas Internacionales de Finanzas Públicas, Córdoba.</w:t>
      </w:r>
    </w:p>
    <w:p w:rsidR="00E656CC" w:rsidRPr="00CF7780" w:rsidRDefault="00E656CC" w:rsidP="000D404D">
      <w:pPr>
        <w:ind w:left="709" w:hanging="709"/>
        <w:jc w:val="both"/>
        <w:rPr>
          <w:rFonts w:ascii="Arial" w:hAnsi="Arial" w:cs="Arial"/>
          <w:bCs/>
          <w:noProof/>
          <w:sz w:val="22"/>
          <w:szCs w:val="22"/>
        </w:rPr>
      </w:pPr>
      <w:r w:rsidRPr="00CF7780">
        <w:rPr>
          <w:rFonts w:ascii="Arial" w:hAnsi="Arial" w:cs="Arial"/>
          <w:bCs/>
          <w:noProof/>
          <w:sz w:val="22"/>
          <w:szCs w:val="22"/>
          <w:lang w:val="en-US"/>
        </w:rPr>
        <w:t xml:space="preserve">Coulombe S.,Tremblay, J. (2001). "Human capital and regional convergence in Canada". </w:t>
      </w:r>
      <w:r w:rsidRPr="00CF7780">
        <w:rPr>
          <w:rFonts w:ascii="Arial" w:hAnsi="Arial" w:cs="Arial"/>
          <w:bCs/>
          <w:noProof/>
          <w:sz w:val="22"/>
          <w:szCs w:val="22"/>
        </w:rPr>
        <w:t>Journal of Economic Studies, Vol. 28 n. 3, pp.154-180.</w:t>
      </w:r>
    </w:p>
    <w:p w:rsidR="00E656CC" w:rsidRPr="00CF7780" w:rsidRDefault="00E656CC" w:rsidP="000D404D">
      <w:pPr>
        <w:ind w:left="709" w:hanging="709"/>
        <w:jc w:val="both"/>
        <w:rPr>
          <w:rFonts w:ascii="Arial" w:hAnsi="Arial" w:cs="Arial"/>
          <w:bCs/>
          <w:noProof/>
          <w:sz w:val="22"/>
          <w:szCs w:val="22"/>
        </w:rPr>
      </w:pPr>
      <w:r w:rsidRPr="00CF7780">
        <w:rPr>
          <w:rFonts w:ascii="Arial" w:hAnsi="Arial" w:cs="Arial"/>
          <w:bCs/>
          <w:noProof/>
          <w:sz w:val="22"/>
          <w:szCs w:val="22"/>
        </w:rPr>
        <w:t>Cuadrado Roura, J.R. y T. Mancha Navarro</w:t>
      </w:r>
      <w:r w:rsidRPr="00CF7780" w:rsidDel="007A503E">
        <w:rPr>
          <w:rFonts w:ascii="Arial" w:hAnsi="Arial" w:cs="Arial"/>
          <w:bCs/>
          <w:noProof/>
          <w:sz w:val="22"/>
          <w:szCs w:val="22"/>
        </w:rPr>
        <w:t xml:space="preserve">, </w:t>
      </w:r>
      <w:r w:rsidRPr="00CF7780">
        <w:rPr>
          <w:rFonts w:ascii="Arial" w:hAnsi="Arial" w:cs="Arial"/>
          <w:bCs/>
          <w:noProof/>
          <w:sz w:val="22"/>
          <w:szCs w:val="22"/>
        </w:rPr>
        <w:t xml:space="preserve">(1999). “Política regional y de cohesión”. En Economía de la Unión Europea, tercera edición, Civitas Ediciones. </w:t>
      </w:r>
    </w:p>
    <w:p w:rsidR="00E656CC" w:rsidRPr="00CF7780" w:rsidRDefault="00E656CC" w:rsidP="000D404D">
      <w:pPr>
        <w:ind w:left="709" w:hanging="709"/>
        <w:jc w:val="both"/>
        <w:rPr>
          <w:rFonts w:ascii="Arial" w:hAnsi="Arial" w:cs="Arial"/>
          <w:bCs/>
          <w:noProof/>
          <w:sz w:val="22"/>
          <w:szCs w:val="22"/>
        </w:rPr>
      </w:pPr>
      <w:r w:rsidRPr="00CF7780">
        <w:rPr>
          <w:rFonts w:ascii="Arial" w:hAnsi="Arial" w:cs="Arial"/>
          <w:bCs/>
          <w:noProof/>
          <w:sz w:val="22"/>
          <w:szCs w:val="22"/>
        </w:rPr>
        <w:t>Cuadrado Roura, Juan; T. Mancha Navarro y Garrido Yserte (1998). Convergencia regional en España.</w:t>
      </w:r>
      <w:r w:rsidRPr="00CF7780" w:rsidDel="007A503E">
        <w:rPr>
          <w:rFonts w:ascii="Arial" w:hAnsi="Arial" w:cs="Arial"/>
          <w:bCs/>
          <w:noProof/>
          <w:sz w:val="22"/>
          <w:szCs w:val="22"/>
        </w:rPr>
        <w:t>,</w:t>
      </w:r>
      <w:r w:rsidRPr="00CF7780">
        <w:rPr>
          <w:rFonts w:ascii="Arial" w:hAnsi="Arial" w:cs="Arial"/>
          <w:bCs/>
          <w:noProof/>
          <w:sz w:val="22"/>
          <w:szCs w:val="22"/>
        </w:rPr>
        <w:t xml:space="preserve"> Fund. Argentaria, Madrid.</w:t>
      </w:r>
    </w:p>
    <w:p w:rsidR="00E656CC" w:rsidRPr="00CF7780" w:rsidRDefault="00E656CC" w:rsidP="000D404D">
      <w:pPr>
        <w:ind w:left="709" w:hanging="709"/>
        <w:jc w:val="both"/>
        <w:rPr>
          <w:rFonts w:ascii="Arial" w:hAnsi="Arial" w:cs="Arial"/>
          <w:sz w:val="22"/>
          <w:szCs w:val="22"/>
          <w:lang w:val="es-AR"/>
        </w:rPr>
      </w:pPr>
      <w:r w:rsidRPr="00CF7780">
        <w:rPr>
          <w:rFonts w:ascii="Arial" w:hAnsi="Arial" w:cs="Arial"/>
          <w:sz w:val="22"/>
          <w:szCs w:val="22"/>
          <w:lang w:val="es-AR"/>
        </w:rPr>
        <w:t xml:space="preserve">Figueras A., Cristina D., Blanco V., Iturralde I. (2014).“El rol de los cambios estructurales en la convergencia regional argentina”. </w:t>
      </w:r>
      <w:r w:rsidRPr="00541F37">
        <w:rPr>
          <w:rFonts w:ascii="Arial" w:hAnsi="Arial" w:cs="Arial"/>
          <w:i/>
          <w:sz w:val="22"/>
          <w:szCs w:val="22"/>
          <w:lang w:val="es-AR"/>
        </w:rPr>
        <w:t>Revista Finanzas y Política Económica</w:t>
      </w:r>
      <w:r w:rsidRPr="00CF7780">
        <w:rPr>
          <w:rFonts w:ascii="Arial" w:hAnsi="Arial" w:cs="Arial"/>
          <w:sz w:val="22"/>
          <w:szCs w:val="22"/>
          <w:lang w:val="es-AR"/>
        </w:rPr>
        <w:t>, Vol. 6, No. 2, julio-diciembre, 2014, pp. 287-316.</w:t>
      </w:r>
    </w:p>
    <w:p w:rsidR="00E656CC" w:rsidRPr="00CF7780" w:rsidRDefault="00E656CC" w:rsidP="000D404D">
      <w:pPr>
        <w:pStyle w:val="BodyText"/>
        <w:widowControl w:val="0"/>
        <w:suppressAutoHyphens/>
        <w:ind w:left="709" w:hanging="709"/>
        <w:rPr>
          <w:rFonts w:ascii="Arial" w:hAnsi="Arial" w:cs="Arial"/>
          <w:sz w:val="22"/>
          <w:szCs w:val="22"/>
          <w:lang w:val="es-MX"/>
        </w:rPr>
      </w:pPr>
      <w:r w:rsidRPr="00CF7780">
        <w:rPr>
          <w:rFonts w:ascii="Arial" w:hAnsi="Arial" w:cs="Arial"/>
          <w:sz w:val="22"/>
          <w:szCs w:val="22"/>
          <w:lang w:val="es-MX"/>
        </w:rPr>
        <w:t xml:space="preserve">Figueras, A., Arrufat, A. y Capello, M. (2009). </w:t>
      </w:r>
      <w:r w:rsidRPr="00CF7780">
        <w:rPr>
          <w:rFonts w:ascii="Arial" w:hAnsi="Arial" w:cs="Arial"/>
          <w:i/>
          <w:sz w:val="22"/>
          <w:szCs w:val="22"/>
          <w:lang w:val="es-MX"/>
        </w:rPr>
        <w:t>El desafío del Territorio</w:t>
      </w:r>
      <w:r w:rsidRPr="00CF7780">
        <w:rPr>
          <w:rFonts w:ascii="Arial" w:hAnsi="Arial" w:cs="Arial"/>
          <w:sz w:val="22"/>
          <w:szCs w:val="22"/>
          <w:lang w:val="es-MX"/>
        </w:rPr>
        <w:t>, Ed. ACFCE, Córdoba.</w:t>
      </w:r>
    </w:p>
    <w:p w:rsidR="00E656CC" w:rsidRPr="00CF7780" w:rsidRDefault="00E656CC" w:rsidP="000D404D">
      <w:pPr>
        <w:pStyle w:val="BodyText"/>
        <w:widowControl w:val="0"/>
        <w:suppressAutoHyphens/>
        <w:ind w:left="709" w:hanging="709"/>
        <w:rPr>
          <w:rFonts w:ascii="Arial" w:hAnsi="Arial" w:cs="Arial"/>
          <w:sz w:val="22"/>
          <w:szCs w:val="22"/>
          <w:lang w:val="es-MX"/>
        </w:rPr>
      </w:pPr>
      <w:r w:rsidRPr="00CF7780">
        <w:rPr>
          <w:rFonts w:ascii="Arial" w:hAnsi="Arial" w:cs="Arial"/>
          <w:sz w:val="22"/>
          <w:szCs w:val="22"/>
          <w:lang w:val="es-MX"/>
        </w:rPr>
        <w:t>Figueras, A.J., Arrufat, J., de la Mata D., y Alvarez S. (2004). “Convergencia Regional: análisis sobre indicadores de tendencia”. Anales de la Reunión de la AAEP, Buenos Aires.</w:t>
      </w:r>
    </w:p>
    <w:p w:rsidR="00E656CC" w:rsidRPr="00CF7780" w:rsidRDefault="00E656CC" w:rsidP="000D404D">
      <w:pPr>
        <w:ind w:left="709" w:hanging="709"/>
        <w:jc w:val="both"/>
        <w:rPr>
          <w:rFonts w:ascii="Arial" w:hAnsi="Arial" w:cs="Arial"/>
          <w:sz w:val="22"/>
          <w:szCs w:val="22"/>
          <w:lang w:val="es-AR"/>
        </w:rPr>
      </w:pPr>
      <w:r w:rsidRPr="00CF7780">
        <w:rPr>
          <w:rFonts w:ascii="Arial" w:hAnsi="Arial" w:cs="Arial"/>
          <w:sz w:val="22"/>
          <w:szCs w:val="22"/>
          <w:lang w:val="es-AR"/>
        </w:rPr>
        <w:t>Figueras, Arrufat y Regis (2003). “El fenómeno de la convergencia regional: una contribución”, Anales de la Reunión de la AAEP, Mendoza.</w:t>
      </w:r>
    </w:p>
    <w:p w:rsidR="00E656CC" w:rsidRPr="00CF7780" w:rsidRDefault="00E656CC" w:rsidP="000D404D">
      <w:pPr>
        <w:ind w:left="709" w:hanging="709"/>
        <w:jc w:val="both"/>
        <w:rPr>
          <w:rFonts w:ascii="Arial" w:hAnsi="Arial" w:cs="Arial"/>
          <w:sz w:val="22"/>
          <w:szCs w:val="22"/>
          <w:lang w:val="es-AR"/>
        </w:rPr>
      </w:pPr>
      <w:r w:rsidRPr="00CF7780">
        <w:rPr>
          <w:rFonts w:ascii="Arial" w:hAnsi="Arial" w:cs="Arial"/>
          <w:sz w:val="22"/>
          <w:szCs w:val="22"/>
          <w:lang w:val="es-AR"/>
        </w:rPr>
        <w:t>Freille S., Figueras A., Capello, M., Moncarz P. y Arrufat J. (2011). “</w:t>
      </w:r>
      <w:r w:rsidRPr="00CF7780">
        <w:rPr>
          <w:rFonts w:ascii="Arial" w:hAnsi="Arial" w:cs="Arial"/>
          <w:sz w:val="22"/>
          <w:szCs w:val="22"/>
          <w:lang w:val="es-MX"/>
        </w:rPr>
        <w:t xml:space="preserve">Efectos de las Transferencias Interjurisdiccionales: un estudio desde las transferencias </w:t>
      </w:r>
      <w:r w:rsidRPr="00CF7780">
        <w:rPr>
          <w:rFonts w:ascii="Arial" w:hAnsi="Arial" w:cs="Arial"/>
          <w:i/>
          <w:sz w:val="22"/>
          <w:szCs w:val="22"/>
          <w:lang w:val="es-MX"/>
        </w:rPr>
        <w:t xml:space="preserve">“netas””. </w:t>
      </w:r>
      <w:r w:rsidRPr="00CF7780">
        <w:rPr>
          <w:rFonts w:ascii="Arial" w:hAnsi="Arial" w:cs="Arial"/>
          <w:bCs/>
          <w:sz w:val="22"/>
          <w:szCs w:val="22"/>
        </w:rPr>
        <w:t>Jornadas Internacionales de Finanzas, Córdoba.</w:t>
      </w:r>
    </w:p>
    <w:p w:rsidR="00E656CC" w:rsidRPr="00CF7780" w:rsidRDefault="00E656CC" w:rsidP="000D404D">
      <w:pPr>
        <w:ind w:left="709" w:hanging="709"/>
        <w:jc w:val="both"/>
        <w:rPr>
          <w:rFonts w:ascii="Arial" w:hAnsi="Arial"/>
          <w:sz w:val="22"/>
        </w:rPr>
      </w:pPr>
      <w:r w:rsidRPr="00CF7780">
        <w:rPr>
          <w:rFonts w:ascii="Arial" w:hAnsi="Arial"/>
          <w:sz w:val="22"/>
        </w:rPr>
        <w:t>Friedman, M. (1992).</w:t>
      </w:r>
      <w:r w:rsidRPr="00CF7780" w:rsidDel="007A503E">
        <w:rPr>
          <w:rFonts w:ascii="Arial" w:hAnsi="Arial"/>
          <w:sz w:val="22"/>
        </w:rPr>
        <w:t xml:space="preserve"> </w:t>
      </w:r>
      <w:r w:rsidRPr="00CF7780">
        <w:rPr>
          <w:rFonts w:ascii="Arial" w:hAnsi="Arial"/>
          <w:sz w:val="22"/>
        </w:rPr>
        <w:t xml:space="preserve">“Do old fallacies ever die?”, </w:t>
      </w:r>
      <w:r w:rsidRPr="00CF7780">
        <w:rPr>
          <w:rFonts w:ascii="Arial" w:hAnsi="Arial"/>
          <w:i/>
          <w:sz w:val="22"/>
        </w:rPr>
        <w:t>Journal of Economic Literature,</w:t>
      </w:r>
      <w:r w:rsidRPr="00CF7780">
        <w:rPr>
          <w:rFonts w:ascii="Arial" w:hAnsi="Arial"/>
          <w:sz w:val="22"/>
        </w:rPr>
        <w:t xml:space="preserve"> Vol. 30, n. 4, pp. 2129–2132.</w:t>
      </w:r>
    </w:p>
    <w:p w:rsidR="00E656CC" w:rsidRPr="00CF7780" w:rsidRDefault="00E656CC" w:rsidP="000D404D">
      <w:pPr>
        <w:ind w:left="709" w:hanging="709"/>
        <w:jc w:val="both"/>
        <w:rPr>
          <w:rFonts w:ascii="Arial" w:hAnsi="Arial" w:cs="Arial"/>
          <w:sz w:val="22"/>
          <w:szCs w:val="22"/>
          <w:lang w:val="en-US"/>
        </w:rPr>
      </w:pPr>
      <w:r w:rsidRPr="00CF7780">
        <w:rPr>
          <w:rFonts w:ascii="Arial" w:hAnsi="Arial"/>
          <w:sz w:val="22"/>
          <w:lang w:val="es-MX"/>
        </w:rPr>
        <w:t xml:space="preserve">Gemmell, N. (1996). </w:t>
      </w:r>
      <w:r w:rsidRPr="00CF7780">
        <w:rPr>
          <w:rFonts w:ascii="Arial" w:hAnsi="Arial" w:cs="Arial"/>
          <w:sz w:val="22"/>
          <w:szCs w:val="22"/>
          <w:lang w:val="en-US"/>
        </w:rPr>
        <w:t xml:space="preserve">“Evaluating the Impacts of Human Capital Stocks and Accumulation on Economic Growth: Some New Evidence”. </w:t>
      </w:r>
      <w:r w:rsidRPr="00CF7780">
        <w:rPr>
          <w:rFonts w:ascii="Arial" w:hAnsi="Arial" w:cs="Arial"/>
          <w:i/>
          <w:sz w:val="22"/>
          <w:szCs w:val="22"/>
          <w:lang w:val="en-US"/>
        </w:rPr>
        <w:t>Oxford Bulletin of Economics and Statistics</w:t>
      </w:r>
      <w:r w:rsidRPr="00CF7780">
        <w:rPr>
          <w:rFonts w:ascii="Arial" w:hAnsi="Arial" w:cs="Arial"/>
          <w:sz w:val="22"/>
          <w:szCs w:val="22"/>
          <w:lang w:val="en-US"/>
        </w:rPr>
        <w:t>, vol. 58, n. 1, pp. 9-28.</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Grossman, G. y Helpman, E. (1991). “Trade, knowledge spillovers, and growth”. </w:t>
      </w:r>
      <w:r w:rsidRPr="00CF7780">
        <w:rPr>
          <w:rFonts w:ascii="Arial" w:hAnsi="Arial" w:cs="Arial"/>
          <w:i/>
          <w:sz w:val="22"/>
          <w:szCs w:val="22"/>
          <w:lang w:val="en-US"/>
        </w:rPr>
        <w:t>European Economic Review,</w:t>
      </w:r>
      <w:r w:rsidRPr="00CF7780">
        <w:rPr>
          <w:rFonts w:ascii="Arial" w:hAnsi="Arial" w:cs="Arial"/>
          <w:sz w:val="22"/>
          <w:szCs w:val="22"/>
          <w:lang w:val="en-US"/>
        </w:rPr>
        <w:t xml:space="preserve"> 35, n. 2-3, pp. 517-526.</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Hanushek E. y Woessmann L. (2012). "Do better schools lead to more growth? Cognitive skills, economic outcomes, and causation," </w:t>
      </w:r>
      <w:r w:rsidRPr="00CF7780">
        <w:rPr>
          <w:rFonts w:ascii="Arial" w:hAnsi="Arial" w:cs="Arial"/>
          <w:i/>
          <w:sz w:val="22"/>
          <w:szCs w:val="22"/>
          <w:lang w:val="en-US"/>
        </w:rPr>
        <w:t>Journal of Economic Growth</w:t>
      </w:r>
      <w:r w:rsidRPr="00CF7780">
        <w:rPr>
          <w:rFonts w:ascii="Arial" w:hAnsi="Arial" w:cs="Arial"/>
          <w:sz w:val="22"/>
          <w:szCs w:val="22"/>
          <w:lang w:val="en-US"/>
        </w:rPr>
        <w:t>, Springer, vol. 17(4), pp. 267-321.</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Hesse H., Sautter H. (1977). </w:t>
      </w:r>
      <w:r w:rsidRPr="00CF7780">
        <w:rPr>
          <w:rFonts w:ascii="Arial" w:hAnsi="Arial" w:cs="Arial"/>
          <w:i/>
          <w:sz w:val="22"/>
          <w:szCs w:val="22"/>
          <w:lang w:val="en-US"/>
        </w:rPr>
        <w:t>Entwicklungstheorie und -politik</w:t>
      </w:r>
      <w:r w:rsidRPr="00CF7780">
        <w:rPr>
          <w:rFonts w:ascii="Arial" w:hAnsi="Arial" w:cs="Arial"/>
          <w:sz w:val="22"/>
          <w:szCs w:val="22"/>
          <w:lang w:val="en-US"/>
        </w:rPr>
        <w:t>, Tübingen: Mohr, Düsseldorf: Werner.</w:t>
      </w:r>
    </w:p>
    <w:p w:rsidR="00E656CC" w:rsidRPr="00CF7780" w:rsidRDefault="00E656CC" w:rsidP="004E2CD6">
      <w:pPr>
        <w:ind w:left="709" w:hanging="709"/>
        <w:jc w:val="both"/>
        <w:rPr>
          <w:rFonts w:ascii="Arial" w:hAnsi="Arial" w:cs="Arial"/>
          <w:sz w:val="22"/>
          <w:szCs w:val="22"/>
          <w:lang w:val="en-US"/>
        </w:rPr>
      </w:pPr>
      <w:r w:rsidRPr="00CF7780">
        <w:rPr>
          <w:rFonts w:ascii="Arial" w:hAnsi="Arial" w:cs="Arial"/>
          <w:sz w:val="22"/>
          <w:szCs w:val="22"/>
          <w:lang w:val="en-US"/>
        </w:rPr>
        <w:t>Hoechle, D. (2007). "Robust standard errors for panel regressions with cross-sectional dependence". Stata Journal, 7, n. 3, pp. 281-312.</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Jones, C. (1998)</w:t>
      </w:r>
      <w:r w:rsidRPr="00CF7780" w:rsidDel="00EA6134">
        <w:rPr>
          <w:rFonts w:ascii="Arial" w:hAnsi="Arial" w:cs="Arial"/>
          <w:sz w:val="22"/>
          <w:szCs w:val="22"/>
          <w:lang w:val="en-US"/>
        </w:rPr>
        <w:t>,</w:t>
      </w:r>
      <w:r w:rsidRPr="00CF7780">
        <w:rPr>
          <w:rFonts w:ascii="Arial" w:hAnsi="Arial" w:cs="Arial"/>
          <w:sz w:val="22"/>
          <w:szCs w:val="22"/>
          <w:lang w:val="en-US"/>
        </w:rPr>
        <w:t xml:space="preserve"> </w:t>
      </w:r>
      <w:r w:rsidRPr="00CF7780">
        <w:rPr>
          <w:rFonts w:ascii="Arial" w:hAnsi="Arial" w:cs="Arial"/>
          <w:i/>
          <w:sz w:val="22"/>
          <w:szCs w:val="22"/>
          <w:lang w:val="en-US"/>
        </w:rPr>
        <w:t>Introduction to economic growth</w:t>
      </w:r>
      <w:r w:rsidRPr="00CF7780">
        <w:rPr>
          <w:rFonts w:ascii="Arial" w:hAnsi="Arial" w:cs="Arial"/>
          <w:sz w:val="22"/>
          <w:szCs w:val="22"/>
          <w:lang w:val="en-US"/>
        </w:rPr>
        <w:t>. W.W. Norton &amp; Company, Nueva York.</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Keller, K. (2006). “Investment in primary, secondary, and higher education and the effects on economic growth”. </w:t>
      </w:r>
      <w:r w:rsidRPr="00CF7780">
        <w:rPr>
          <w:rFonts w:ascii="Arial" w:hAnsi="Arial" w:cs="Arial"/>
          <w:i/>
          <w:sz w:val="22"/>
          <w:szCs w:val="22"/>
          <w:lang w:val="en-US"/>
        </w:rPr>
        <w:t>Contemporary Economic Policy</w:t>
      </w:r>
      <w:r w:rsidRPr="00CF7780">
        <w:rPr>
          <w:rFonts w:ascii="Arial" w:hAnsi="Arial" w:cs="Arial"/>
          <w:sz w:val="22"/>
          <w:szCs w:val="22"/>
          <w:lang w:val="en-US"/>
        </w:rPr>
        <w:t>, n. 24, pp.18–34.</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Lucas, R. E. (1988). “On the mechanics of Economic Development”. </w:t>
      </w:r>
      <w:r w:rsidRPr="00CF7780">
        <w:rPr>
          <w:rFonts w:ascii="Arial" w:hAnsi="Arial" w:cs="Arial"/>
          <w:i/>
          <w:sz w:val="22"/>
          <w:szCs w:val="22"/>
          <w:lang w:val="en-US"/>
        </w:rPr>
        <w:t>Journal of Monetary Economics</w:t>
      </w:r>
      <w:r w:rsidRPr="00CF7780">
        <w:rPr>
          <w:rFonts w:ascii="Arial" w:hAnsi="Arial" w:cs="Arial"/>
          <w:sz w:val="22"/>
          <w:szCs w:val="22"/>
          <w:lang w:val="en-US"/>
        </w:rPr>
        <w:t>, vol. 22.</w:t>
      </w:r>
    </w:p>
    <w:p w:rsidR="00E656CC" w:rsidRPr="00CF7780" w:rsidRDefault="00E656CC" w:rsidP="000D404D">
      <w:pPr>
        <w:ind w:left="709" w:hanging="709"/>
        <w:jc w:val="both"/>
        <w:rPr>
          <w:rFonts w:ascii="Arial" w:hAnsi="Arial" w:cs="Arial"/>
          <w:spacing w:val="-2"/>
          <w:sz w:val="22"/>
          <w:szCs w:val="22"/>
        </w:rPr>
      </w:pPr>
      <w:r w:rsidRPr="009829D6">
        <w:rPr>
          <w:rFonts w:ascii="Arial" w:hAnsi="Arial" w:cs="Arial"/>
          <w:sz w:val="22"/>
          <w:szCs w:val="22"/>
          <w:lang w:val="en-US"/>
        </w:rPr>
        <w:t xml:space="preserve">Mancha Navarro, T. y Sotelsek, S. (Ed.) </w:t>
      </w:r>
      <w:r w:rsidRPr="00CF7780">
        <w:rPr>
          <w:rFonts w:ascii="Arial" w:hAnsi="Arial" w:cs="Arial"/>
          <w:sz w:val="22"/>
          <w:szCs w:val="22"/>
          <w:lang w:val="es-AR"/>
        </w:rPr>
        <w:t xml:space="preserve">(2001). </w:t>
      </w:r>
      <w:r w:rsidRPr="00CF7780">
        <w:rPr>
          <w:rFonts w:ascii="Arial" w:hAnsi="Arial" w:cs="Arial"/>
          <w:i/>
          <w:sz w:val="22"/>
          <w:szCs w:val="22"/>
          <w:lang w:val="es-AR"/>
        </w:rPr>
        <w:t>Convergencia Económica e integración.</w:t>
      </w:r>
      <w:r w:rsidRPr="00CF7780">
        <w:rPr>
          <w:rFonts w:ascii="Arial" w:hAnsi="Arial" w:cs="Arial"/>
          <w:sz w:val="22"/>
          <w:szCs w:val="22"/>
          <w:lang w:val="es-AR"/>
        </w:rPr>
        <w:t xml:space="preserve"> Ed. </w:t>
      </w:r>
      <w:r w:rsidRPr="00CF7780">
        <w:rPr>
          <w:rFonts w:ascii="Arial" w:hAnsi="Arial" w:cs="Arial"/>
          <w:spacing w:val="-2"/>
          <w:sz w:val="22"/>
          <w:szCs w:val="22"/>
          <w:lang w:val="es-AR"/>
        </w:rPr>
        <w:t>Pirámide, Madrid.</w:t>
      </w:r>
    </w:p>
    <w:p w:rsidR="00E656CC" w:rsidRPr="00CF7780" w:rsidRDefault="00E656CC" w:rsidP="000D404D">
      <w:pPr>
        <w:ind w:left="709" w:hanging="709"/>
        <w:jc w:val="both"/>
        <w:rPr>
          <w:rFonts w:ascii="Arial" w:hAnsi="Arial" w:cs="Arial"/>
          <w:spacing w:val="-2"/>
          <w:sz w:val="22"/>
          <w:szCs w:val="22"/>
          <w:lang w:val="en-US"/>
        </w:rPr>
      </w:pPr>
      <w:r w:rsidRPr="00CF7780">
        <w:rPr>
          <w:rFonts w:ascii="Arial" w:hAnsi="Arial" w:cs="Arial"/>
          <w:spacing w:val="-2"/>
          <w:sz w:val="22"/>
          <w:szCs w:val="22"/>
        </w:rPr>
        <w:t xml:space="preserve">Marina, A. (2001). “Convergencia económica en Argentina”, en Mancha N. y Sotelsek op. </w:t>
      </w:r>
      <w:r w:rsidRPr="00CF7780">
        <w:rPr>
          <w:rFonts w:ascii="Arial" w:hAnsi="Arial" w:cs="Arial"/>
          <w:spacing w:val="-2"/>
          <w:sz w:val="22"/>
          <w:szCs w:val="22"/>
          <w:lang w:val="en-US"/>
        </w:rPr>
        <w:t>Cit.</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Mincer, J. (1958). “Investment in Human Capital and Personal Income Distribution”, </w:t>
      </w:r>
      <w:r w:rsidRPr="00CF7780">
        <w:rPr>
          <w:rFonts w:ascii="Arial" w:hAnsi="Arial" w:cs="Arial"/>
          <w:i/>
          <w:sz w:val="22"/>
          <w:szCs w:val="22"/>
          <w:lang w:val="en-US"/>
        </w:rPr>
        <w:t>Journal of Political Economy,</w:t>
      </w:r>
      <w:r w:rsidRPr="00CF7780">
        <w:rPr>
          <w:rFonts w:ascii="Arial" w:hAnsi="Arial" w:cs="Arial"/>
          <w:sz w:val="22"/>
          <w:szCs w:val="22"/>
          <w:lang w:val="en-US"/>
        </w:rPr>
        <w:t xml:space="preserve"> vol. 66 n.4, pp. 281-302.</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Owens E. y Shaw R. (1972). </w:t>
      </w:r>
      <w:r w:rsidRPr="00CF7780">
        <w:rPr>
          <w:rFonts w:ascii="Arial" w:hAnsi="Arial" w:cs="Arial"/>
          <w:i/>
          <w:sz w:val="22"/>
          <w:szCs w:val="22"/>
          <w:lang w:val="en-US"/>
        </w:rPr>
        <w:t>Development Reconsidered</w:t>
      </w:r>
      <w:r w:rsidRPr="00CF7780">
        <w:rPr>
          <w:rFonts w:ascii="Arial" w:hAnsi="Arial" w:cs="Arial"/>
          <w:sz w:val="22"/>
          <w:szCs w:val="22"/>
          <w:lang w:val="en-US"/>
        </w:rPr>
        <w:t>. D. Health &amp; Company.</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s-AR"/>
        </w:rPr>
        <w:t xml:space="preserve">Polèse, M. y Rubiera, F. (2009). </w:t>
      </w:r>
      <w:r w:rsidRPr="00CF7780">
        <w:rPr>
          <w:rFonts w:ascii="Arial" w:hAnsi="Arial" w:cs="Arial"/>
          <w:i/>
          <w:sz w:val="22"/>
          <w:szCs w:val="22"/>
        </w:rPr>
        <w:t>Economía Urbana y Regional</w:t>
      </w:r>
      <w:r w:rsidRPr="00CF7780">
        <w:rPr>
          <w:rFonts w:ascii="Arial" w:hAnsi="Arial" w:cs="Arial"/>
          <w:sz w:val="22"/>
          <w:szCs w:val="22"/>
        </w:rPr>
        <w:t xml:space="preserve">, Ed. </w:t>
      </w:r>
      <w:r w:rsidRPr="00CF7780">
        <w:rPr>
          <w:rFonts w:ascii="Arial" w:hAnsi="Arial" w:cs="Arial"/>
          <w:sz w:val="22"/>
          <w:szCs w:val="22"/>
          <w:lang w:val="en-US"/>
        </w:rPr>
        <w:t>Civitas, Pamplona.</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Portela, M. (2001). “Measuring skill: a multidimensional index”. </w:t>
      </w:r>
      <w:r w:rsidRPr="00CF7780">
        <w:rPr>
          <w:rFonts w:ascii="Arial" w:hAnsi="Arial" w:cs="Arial"/>
          <w:i/>
          <w:sz w:val="22"/>
          <w:szCs w:val="22"/>
          <w:lang w:val="en-US"/>
        </w:rPr>
        <w:t>Economics Letters</w:t>
      </w:r>
      <w:r w:rsidRPr="00CF7780">
        <w:rPr>
          <w:rFonts w:ascii="Arial" w:hAnsi="Arial" w:cs="Arial"/>
          <w:sz w:val="22"/>
          <w:szCs w:val="22"/>
          <w:lang w:val="en-US"/>
        </w:rPr>
        <w:t>, Vol.72, n. 1, pp. 27-32.</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Romer, P. M. (1986). “Increasing Returns and Long-Run Growth”. </w:t>
      </w:r>
      <w:r w:rsidRPr="00CF7780">
        <w:rPr>
          <w:rFonts w:ascii="Arial" w:hAnsi="Arial" w:cs="Arial"/>
          <w:i/>
          <w:sz w:val="22"/>
          <w:szCs w:val="22"/>
          <w:lang w:val="en-US"/>
        </w:rPr>
        <w:t>The Journal of Political Economy</w:t>
      </w:r>
      <w:r w:rsidRPr="00CF7780">
        <w:rPr>
          <w:rFonts w:ascii="Arial" w:hAnsi="Arial" w:cs="Arial"/>
          <w:sz w:val="22"/>
          <w:szCs w:val="22"/>
          <w:lang w:val="en-US"/>
        </w:rPr>
        <w:t>, Vol. 94, n. 5, pp. 1002-1037.</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Romer, P. M. (1994). “The Origins of Endogenous Growth”. </w:t>
      </w:r>
      <w:r w:rsidRPr="00CF7780">
        <w:rPr>
          <w:rFonts w:ascii="Arial" w:hAnsi="Arial" w:cs="Arial"/>
          <w:i/>
          <w:sz w:val="22"/>
          <w:szCs w:val="22"/>
          <w:lang w:val="en-US"/>
        </w:rPr>
        <w:t xml:space="preserve">The Journal of Economic Perspectives, </w:t>
      </w:r>
      <w:r w:rsidRPr="00CF7780">
        <w:rPr>
          <w:rFonts w:ascii="Arial" w:hAnsi="Arial" w:cs="Arial"/>
          <w:sz w:val="22"/>
          <w:szCs w:val="22"/>
          <w:lang w:val="en-US"/>
        </w:rPr>
        <w:t>vol.</w:t>
      </w:r>
      <w:r w:rsidRPr="00CF7780">
        <w:rPr>
          <w:rFonts w:ascii="Arial" w:hAnsi="Arial" w:cs="Arial"/>
          <w:i/>
          <w:sz w:val="22"/>
          <w:szCs w:val="22"/>
          <w:lang w:val="en-US"/>
        </w:rPr>
        <w:t xml:space="preserve"> </w:t>
      </w:r>
      <w:r w:rsidRPr="00CF7780">
        <w:rPr>
          <w:rFonts w:ascii="Arial" w:hAnsi="Arial" w:cs="Arial"/>
          <w:sz w:val="22"/>
          <w:szCs w:val="22"/>
          <w:lang w:val="en-US"/>
        </w:rPr>
        <w:t>8, pp. 3-22.</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Romer, P.M. (1990), “Endogenous Technological Change”. </w:t>
      </w:r>
      <w:r w:rsidRPr="00CF7780">
        <w:rPr>
          <w:rFonts w:ascii="Arial" w:hAnsi="Arial" w:cs="Arial"/>
          <w:i/>
          <w:sz w:val="22"/>
          <w:szCs w:val="22"/>
          <w:lang w:val="en-US"/>
        </w:rPr>
        <w:t>Journal of Political Economy</w:t>
      </w:r>
      <w:r w:rsidRPr="00CF7780">
        <w:rPr>
          <w:rFonts w:ascii="Arial" w:hAnsi="Arial" w:cs="Arial"/>
          <w:sz w:val="22"/>
          <w:szCs w:val="22"/>
          <w:lang w:val="en-US"/>
        </w:rPr>
        <w:t>, vol. 98(5), pp. 71-102.</w:t>
      </w:r>
    </w:p>
    <w:p w:rsidR="00E656CC" w:rsidRPr="00CF7780" w:rsidRDefault="00E656CC" w:rsidP="00C87104">
      <w:pPr>
        <w:shd w:val="clear" w:color="auto" w:fill="FFFFFF"/>
        <w:rPr>
          <w:rFonts w:ascii="Arial" w:hAnsi="Arial" w:cs="Arial"/>
          <w:sz w:val="22"/>
          <w:szCs w:val="22"/>
          <w:lang w:val="es-ES_tradnl"/>
        </w:rPr>
      </w:pPr>
      <w:r w:rsidRPr="00CF7780">
        <w:rPr>
          <w:rFonts w:ascii="Arial" w:hAnsi="Arial" w:cs="Arial"/>
          <w:sz w:val="22"/>
          <w:szCs w:val="22"/>
          <w:lang w:val="en-US"/>
        </w:rPr>
        <w:t xml:space="preserve">Sala-I-Martin X., Doppelhofer, G. y Miller R. (2004). "Determinants of Long-Term Growth: A Bayesian Averaging of Classical Estimates (BACE) Approach". </w:t>
      </w:r>
      <w:r w:rsidRPr="00CF7780">
        <w:rPr>
          <w:rFonts w:ascii="Arial" w:hAnsi="Arial" w:cs="Arial"/>
          <w:sz w:val="22"/>
          <w:szCs w:val="22"/>
          <w:lang w:val="es-ES_tradnl"/>
        </w:rPr>
        <w:t>American Economic Review, American Economic Association, vol. 94(4), pp. 813-835.</w:t>
      </w:r>
    </w:p>
    <w:p w:rsidR="00E656CC" w:rsidRPr="00CF7780" w:rsidRDefault="00E656CC" w:rsidP="000D404D">
      <w:pPr>
        <w:ind w:left="709" w:hanging="709"/>
        <w:jc w:val="both"/>
        <w:rPr>
          <w:rFonts w:ascii="Arial" w:hAnsi="Arial" w:cs="Arial"/>
          <w:sz w:val="22"/>
          <w:szCs w:val="22"/>
        </w:rPr>
      </w:pPr>
      <w:r w:rsidRPr="00CF7780">
        <w:rPr>
          <w:rFonts w:ascii="Arial" w:hAnsi="Arial" w:cs="Arial"/>
          <w:sz w:val="22"/>
          <w:szCs w:val="22"/>
        </w:rPr>
        <w:t xml:space="preserve">Sala-i-Martín, X., (1999); </w:t>
      </w:r>
      <w:r w:rsidRPr="00CF7780">
        <w:rPr>
          <w:rFonts w:ascii="Arial" w:hAnsi="Arial" w:cs="Arial"/>
          <w:i/>
          <w:sz w:val="22"/>
          <w:szCs w:val="22"/>
        </w:rPr>
        <w:t>Apuntes de Crecimiento Económico</w:t>
      </w:r>
      <w:r w:rsidRPr="00CF7780">
        <w:rPr>
          <w:rFonts w:ascii="Arial" w:hAnsi="Arial" w:cs="Arial"/>
          <w:sz w:val="22"/>
          <w:szCs w:val="22"/>
        </w:rPr>
        <w:t>, Ed. A. Bosch, Barcelona.</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Schultz, T.W. (1961</w:t>
      </w:r>
      <w:r w:rsidRPr="00CF7780" w:rsidDel="007A503E">
        <w:rPr>
          <w:rFonts w:ascii="Arial" w:hAnsi="Arial" w:cs="Arial"/>
          <w:sz w:val="22"/>
          <w:szCs w:val="22"/>
          <w:lang w:val="en-US"/>
        </w:rPr>
        <w:t>a</w:t>
      </w:r>
      <w:r w:rsidRPr="00CF7780">
        <w:rPr>
          <w:rFonts w:ascii="Arial" w:hAnsi="Arial" w:cs="Arial"/>
          <w:sz w:val="22"/>
          <w:szCs w:val="22"/>
          <w:lang w:val="en-US"/>
        </w:rPr>
        <w:t xml:space="preserve">). “Investment in Human Capital”. </w:t>
      </w:r>
      <w:r w:rsidRPr="00CF7780">
        <w:rPr>
          <w:rFonts w:ascii="Arial" w:hAnsi="Arial" w:cs="Arial"/>
          <w:i/>
          <w:sz w:val="22"/>
          <w:szCs w:val="22"/>
          <w:lang w:val="en-US"/>
        </w:rPr>
        <w:t>American Economic Review</w:t>
      </w:r>
      <w:r w:rsidRPr="00CF7780">
        <w:rPr>
          <w:rFonts w:ascii="Arial" w:hAnsi="Arial" w:cs="Arial"/>
          <w:sz w:val="22"/>
          <w:szCs w:val="22"/>
          <w:lang w:val="en-US"/>
        </w:rPr>
        <w:t>, vol. 51, n.1, pp. 1-174.</w:t>
      </w:r>
    </w:p>
    <w:p w:rsidR="00E656CC" w:rsidRPr="00CF7780"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Sollow, R. M. (1957). “Technical Change and the Aggregate Production Function”. </w:t>
      </w:r>
      <w:r w:rsidRPr="00CF7780">
        <w:rPr>
          <w:rFonts w:ascii="Arial" w:hAnsi="Arial" w:cs="Arial"/>
          <w:i/>
          <w:sz w:val="22"/>
          <w:szCs w:val="22"/>
          <w:lang w:val="en-US"/>
        </w:rPr>
        <w:t>Review of Economics and Statistics</w:t>
      </w:r>
      <w:r w:rsidRPr="00CF7780">
        <w:rPr>
          <w:rFonts w:ascii="Arial" w:hAnsi="Arial" w:cs="Arial"/>
          <w:sz w:val="22"/>
          <w:szCs w:val="22"/>
          <w:lang w:val="en-US"/>
        </w:rPr>
        <w:t>, vol. 39, pp. 312-320.</w:t>
      </w:r>
    </w:p>
    <w:p w:rsidR="00E656CC" w:rsidRPr="00CF7780" w:rsidDel="00664362"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Swan, T.W. (1956). “Economic Growth and Capital Accumulation”, </w:t>
      </w:r>
      <w:r w:rsidRPr="00CF7780">
        <w:rPr>
          <w:rFonts w:ascii="Arial" w:hAnsi="Arial" w:cs="Arial"/>
          <w:i/>
          <w:sz w:val="22"/>
          <w:szCs w:val="22"/>
          <w:lang w:val="en-US"/>
        </w:rPr>
        <w:t>Economic Record</w:t>
      </w:r>
      <w:r w:rsidRPr="00CF7780">
        <w:rPr>
          <w:rFonts w:ascii="Arial" w:hAnsi="Arial" w:cs="Arial"/>
          <w:sz w:val="22"/>
          <w:szCs w:val="22"/>
          <w:lang w:val="en-US"/>
        </w:rPr>
        <w:t>, vol. 32 n. 63, pp. 334 - 361.</w:t>
      </w:r>
    </w:p>
    <w:p w:rsidR="00E656CC" w:rsidRPr="00CF7780" w:rsidRDefault="00E656CC" w:rsidP="000D404D">
      <w:pPr>
        <w:ind w:left="709" w:hanging="709"/>
        <w:jc w:val="both"/>
        <w:rPr>
          <w:rFonts w:ascii="Arial" w:hAnsi="Arial" w:cs="Arial"/>
          <w:sz w:val="22"/>
          <w:szCs w:val="22"/>
        </w:rPr>
      </w:pPr>
      <w:r w:rsidRPr="00CF7780">
        <w:rPr>
          <w:rFonts w:ascii="Arial" w:hAnsi="Arial" w:cs="Arial"/>
          <w:sz w:val="22"/>
          <w:szCs w:val="22"/>
        </w:rPr>
        <w:t>Utrera G. y</w:t>
      </w:r>
      <w:r w:rsidRPr="00CF7780" w:rsidDel="00764F3C">
        <w:rPr>
          <w:rFonts w:ascii="Arial" w:hAnsi="Arial" w:cs="Arial"/>
          <w:sz w:val="22"/>
          <w:szCs w:val="22"/>
        </w:rPr>
        <w:t>&amp;</w:t>
      </w:r>
      <w:r w:rsidRPr="00CF7780">
        <w:rPr>
          <w:rFonts w:ascii="Arial" w:hAnsi="Arial" w:cs="Arial"/>
          <w:sz w:val="22"/>
          <w:szCs w:val="22"/>
        </w:rPr>
        <w:t xml:space="preserve"> Koroch</w:t>
      </w:r>
      <w:r w:rsidRPr="00CF7780" w:rsidDel="00764F3C">
        <w:rPr>
          <w:rFonts w:ascii="Arial" w:hAnsi="Arial" w:cs="Arial"/>
          <w:sz w:val="22"/>
          <w:szCs w:val="22"/>
        </w:rPr>
        <w:t>,</w:t>
      </w:r>
      <w:r w:rsidRPr="00CF7780">
        <w:rPr>
          <w:rFonts w:ascii="Arial" w:hAnsi="Arial" w:cs="Arial"/>
          <w:sz w:val="22"/>
          <w:szCs w:val="22"/>
        </w:rPr>
        <w:t xml:space="preserve"> (1998). “Convergencia: evidencia para provincias argentinas”, Anales de la XXXII Reunión AAEP.</w:t>
      </w:r>
    </w:p>
    <w:p w:rsidR="00E656CC" w:rsidRDefault="00E656CC" w:rsidP="000D404D">
      <w:pPr>
        <w:ind w:left="709" w:hanging="709"/>
        <w:jc w:val="both"/>
        <w:rPr>
          <w:rFonts w:ascii="Arial" w:hAnsi="Arial" w:cs="Arial"/>
          <w:sz w:val="22"/>
          <w:szCs w:val="22"/>
          <w:lang w:val="en-US"/>
        </w:rPr>
      </w:pPr>
      <w:r w:rsidRPr="00CF7780">
        <w:rPr>
          <w:rFonts w:ascii="Arial" w:hAnsi="Arial" w:cs="Arial"/>
          <w:sz w:val="22"/>
          <w:szCs w:val="22"/>
          <w:lang w:val="en-US"/>
        </w:rPr>
        <w:t xml:space="preserve">Young, A. (1995). “The Tyranny of Numbers”. </w:t>
      </w:r>
      <w:r w:rsidRPr="00CF7780">
        <w:rPr>
          <w:rFonts w:ascii="Arial" w:hAnsi="Arial" w:cs="Arial"/>
          <w:i/>
          <w:sz w:val="22"/>
          <w:szCs w:val="22"/>
          <w:lang w:val="en-US"/>
        </w:rPr>
        <w:t>Quarterly Journal of Economics</w:t>
      </w:r>
      <w:r w:rsidRPr="00CF7780">
        <w:rPr>
          <w:rFonts w:ascii="Arial" w:hAnsi="Arial" w:cs="Arial"/>
          <w:sz w:val="22"/>
          <w:szCs w:val="22"/>
          <w:lang w:val="en-US"/>
        </w:rPr>
        <w:t>, Vol.110, pp.641-680.</w:t>
      </w:r>
    </w:p>
    <w:sectPr w:rsidR="00E656CC" w:rsidSect="009947B0">
      <w:headerReference w:type="even" r:id="rId24"/>
      <w:headerReference w:type="default" r:id="rId25"/>
      <w:footerReference w:type="default" r:id="rId26"/>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6CC" w:rsidRDefault="00E656CC">
      <w:r>
        <w:separator/>
      </w:r>
    </w:p>
  </w:endnote>
  <w:endnote w:type="continuationSeparator" w:id="0">
    <w:p w:rsidR="00E656CC" w:rsidRDefault="00E656CC">
      <w:r>
        <w:continuationSeparator/>
      </w:r>
    </w:p>
  </w:endnote>
  <w:endnote w:type="continuationNotice" w:id="1">
    <w:p w:rsidR="00E656CC" w:rsidRDefault="00E656C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¾¨ù¢¬©÷"/>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CC" w:rsidRDefault="00E656CC">
    <w:pPr>
      <w:pStyle w:val="Footer"/>
      <w:jc w:val="right"/>
    </w:pPr>
    <w:fldSimple w:instr="PAGE   \* MERGEFORMAT">
      <w:r>
        <w:rPr>
          <w:noProof/>
        </w:rPr>
        <w:t>4</w:t>
      </w:r>
    </w:fldSimple>
  </w:p>
  <w:p w:rsidR="00E656CC" w:rsidRDefault="00E65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6CC" w:rsidRDefault="00E656CC">
      <w:r>
        <w:separator/>
      </w:r>
    </w:p>
  </w:footnote>
  <w:footnote w:type="continuationSeparator" w:id="0">
    <w:p w:rsidR="00E656CC" w:rsidRDefault="00E656CC">
      <w:r>
        <w:continuationSeparator/>
      </w:r>
    </w:p>
  </w:footnote>
  <w:footnote w:type="continuationNotice" w:id="1">
    <w:p w:rsidR="00E656CC" w:rsidRDefault="00E656CC"/>
  </w:footnote>
  <w:footnote w:id="2">
    <w:p w:rsidR="00E656CC" w:rsidRDefault="00E656CC">
      <w:pPr>
        <w:pStyle w:val="FootnoteText"/>
      </w:pPr>
      <w:r w:rsidRPr="00AC3FF0">
        <w:rPr>
          <w:rStyle w:val="FootnoteReference"/>
          <w:sz w:val="16"/>
          <w:szCs w:val="16"/>
        </w:rPr>
        <w:footnoteRef/>
      </w:r>
      <w:r w:rsidRPr="00AC3FF0">
        <w:rPr>
          <w:sz w:val="16"/>
          <w:szCs w:val="16"/>
          <w:lang w:val="es-AR"/>
        </w:rPr>
        <w:t xml:space="preserve"> </w:t>
      </w:r>
      <w:r w:rsidRPr="00DD424D">
        <w:rPr>
          <w:rFonts w:ascii="Arial" w:hAnsi="Arial" w:cs="Arial"/>
          <w:sz w:val="16"/>
          <w:szCs w:val="16"/>
          <w:lang w:val="es-AR"/>
        </w:rPr>
        <w:t>Agradecemos los comentarios recibidos de Marcelo Capello (FCE-UNC)</w:t>
      </w:r>
      <w:r>
        <w:rPr>
          <w:rFonts w:ascii="Arial" w:hAnsi="Arial" w:cs="Arial"/>
          <w:sz w:val="16"/>
          <w:szCs w:val="16"/>
          <w:lang w:val="es-AR"/>
        </w:rPr>
        <w:t xml:space="preserve"> y Ariel Barraud </w:t>
      </w:r>
      <w:r w:rsidRPr="00DD424D">
        <w:rPr>
          <w:rFonts w:ascii="Arial" w:hAnsi="Arial" w:cs="Arial"/>
          <w:sz w:val="16"/>
          <w:szCs w:val="16"/>
          <w:lang w:val="es-AR"/>
        </w:rPr>
        <w:t xml:space="preserve"> (FCE-UNC).</w:t>
      </w:r>
      <w:r w:rsidRPr="00AC3FF0">
        <w:rPr>
          <w:sz w:val="16"/>
          <w:szCs w:val="16"/>
          <w:lang w:val="es-AR"/>
        </w:rPr>
        <w:t xml:space="preserve"> </w:t>
      </w:r>
    </w:p>
  </w:footnote>
  <w:footnote w:id="3">
    <w:p w:rsidR="00E656CC" w:rsidRPr="00DE02BC" w:rsidRDefault="00E656CC" w:rsidP="00873A9C">
      <w:pPr>
        <w:shd w:val="clear" w:color="auto" w:fill="FFFFFF"/>
        <w:spacing w:before="100" w:beforeAutospacing="1" w:after="100" w:afterAutospacing="1"/>
        <w:ind w:firstLine="708"/>
        <w:jc w:val="both"/>
        <w:rPr>
          <w:rFonts w:ascii="Arial" w:hAnsi="Arial"/>
          <w:color w:val="212121"/>
          <w:sz w:val="22"/>
          <w:lang w:val="es-AR"/>
        </w:rPr>
      </w:pPr>
      <w:r w:rsidRPr="00B41EEF">
        <w:rPr>
          <w:rStyle w:val="FootnoteReference"/>
        </w:rPr>
        <w:footnoteRef/>
      </w:r>
      <w:r w:rsidRPr="00B41EEF">
        <w:t xml:space="preserve"> </w:t>
      </w:r>
      <w:r w:rsidRPr="0080314D">
        <w:rPr>
          <w:rFonts w:ascii="Arial" w:hAnsi="Arial" w:cs="Arial"/>
          <w:color w:val="000000"/>
          <w:sz w:val="18"/>
          <w:szCs w:val="18"/>
          <w:lang w:eastAsia="es-ES"/>
        </w:rPr>
        <w:t xml:space="preserve">Situación ésta que también sería posible analizar  por el sendero que abre la prueba de causalidad de Granger, bajo la hipótesis nula de </w:t>
      </w:r>
      <w:r w:rsidRPr="00B41EEF">
        <w:rPr>
          <w:rFonts w:ascii="Arial" w:hAnsi="Arial" w:cs="Arial"/>
          <w:color w:val="000000"/>
          <w:sz w:val="18"/>
          <w:szCs w:val="18"/>
          <w:lang w:eastAsia="es-ES"/>
        </w:rPr>
        <w:t>que dicha causalidad no exist</w:t>
      </w:r>
      <w:r w:rsidRPr="0080314D">
        <w:rPr>
          <w:rFonts w:ascii="Arial" w:hAnsi="Arial" w:cs="Arial"/>
          <w:color w:val="000000"/>
          <w:sz w:val="18"/>
          <w:szCs w:val="18"/>
          <w:lang w:eastAsia="es-ES"/>
        </w:rPr>
        <w:t>e</w:t>
      </w:r>
      <w:r w:rsidRPr="00B41EEF">
        <w:rPr>
          <w:rFonts w:ascii="Arial" w:hAnsi="Arial" w:cs="Arial"/>
          <w:color w:val="000000"/>
          <w:sz w:val="18"/>
          <w:szCs w:val="18"/>
          <w:lang w:eastAsia="es-ES"/>
        </w:rPr>
        <w:t>. E</w:t>
      </w:r>
      <w:r w:rsidRPr="0080314D">
        <w:rPr>
          <w:rFonts w:ascii="Arial" w:hAnsi="Arial" w:cs="Arial"/>
          <w:color w:val="000000"/>
          <w:sz w:val="18"/>
          <w:szCs w:val="18"/>
          <w:lang w:eastAsia="es-ES"/>
        </w:rPr>
        <w:t xml:space="preserve">s preciso tener presente que </w:t>
      </w:r>
      <w:r w:rsidRPr="00B41EEF">
        <w:rPr>
          <w:rFonts w:ascii="Arial" w:hAnsi="Arial" w:cs="Arial"/>
          <w:color w:val="000000"/>
          <w:sz w:val="18"/>
          <w:szCs w:val="18"/>
          <w:lang w:eastAsia="es-ES"/>
        </w:rPr>
        <w:t>la causalidad </w:t>
      </w:r>
      <w:r w:rsidRPr="0080314D">
        <w:rPr>
          <w:rFonts w:ascii="Arial" w:hAnsi="Arial" w:cs="Arial"/>
          <w:color w:val="000000"/>
          <w:sz w:val="18"/>
          <w:szCs w:val="18"/>
          <w:lang w:eastAsia="es-ES"/>
        </w:rPr>
        <w:t>en el sentido de Granger</w:t>
      </w:r>
      <w:r w:rsidRPr="00B41EEF">
        <w:rPr>
          <w:rFonts w:ascii="Arial" w:hAnsi="Arial" w:cs="Arial"/>
          <w:color w:val="000000"/>
          <w:sz w:val="18"/>
          <w:szCs w:val="18"/>
          <w:lang w:eastAsia="es-ES"/>
        </w:rPr>
        <w:t xml:space="preserve"> es una condición necesaria pero no suficiente para la existencia de verdadera causalidad. No obstante, en este paper, tal prueba  no se pudo llevar a cabo debido a la necesidad de contar con un mínimo de ocho años de panel estrictamente balanceado sin huecos o </w:t>
      </w:r>
      <w:r w:rsidRPr="00B41EEF">
        <w:rPr>
          <w:rFonts w:ascii="Arial" w:hAnsi="Arial" w:cs="Arial"/>
          <w:i/>
          <w:color w:val="000000"/>
          <w:sz w:val="18"/>
          <w:szCs w:val="18"/>
          <w:lang w:eastAsia="es-ES"/>
        </w:rPr>
        <w:t>gaps</w:t>
      </w:r>
      <w:r w:rsidRPr="00B41EEF">
        <w:rPr>
          <w:rFonts w:ascii="Arial" w:hAnsi="Arial" w:cs="Arial"/>
          <w:color w:val="000000"/>
          <w:sz w:val="18"/>
          <w:szCs w:val="18"/>
          <w:lang w:eastAsia="es-ES"/>
        </w:rPr>
        <w:t xml:space="preserve"> en los datos.</w:t>
      </w:r>
    </w:p>
    <w:p w:rsidR="00E656CC" w:rsidRDefault="00E656CC" w:rsidP="00873A9C">
      <w:pPr>
        <w:shd w:val="clear" w:color="auto" w:fill="FFFFFF"/>
        <w:spacing w:before="100" w:beforeAutospacing="1" w:after="100" w:afterAutospacing="1"/>
        <w:ind w:firstLine="708"/>
        <w:jc w:val="both"/>
      </w:pPr>
    </w:p>
  </w:footnote>
  <w:footnote w:id="4">
    <w:p w:rsidR="00E656CC" w:rsidRDefault="00E656CC">
      <w:pPr>
        <w:pStyle w:val="FootnoteText"/>
      </w:pPr>
      <w:r w:rsidRPr="000F779E">
        <w:rPr>
          <w:rStyle w:val="FootnoteReference"/>
          <w:rFonts w:ascii="Arial" w:hAnsi="Arial" w:cs="Arial"/>
          <w:sz w:val="16"/>
          <w:szCs w:val="16"/>
        </w:rPr>
        <w:footnoteRef/>
      </w:r>
      <w:r w:rsidRPr="000F779E">
        <w:rPr>
          <w:rFonts w:ascii="Arial" w:hAnsi="Arial" w:cs="Arial"/>
          <w:sz w:val="16"/>
          <w:szCs w:val="16"/>
          <w:lang w:val="es-AR"/>
        </w:rPr>
        <w:t xml:space="preserve"> Delimitado por la disponibilidad  de datos referidos a educación. </w:t>
      </w:r>
    </w:p>
  </w:footnote>
  <w:footnote w:id="5">
    <w:p w:rsidR="00E656CC" w:rsidRDefault="00E656CC">
      <w:pPr>
        <w:pStyle w:val="FootnoteText"/>
      </w:pPr>
      <w:r w:rsidRPr="00C31E40">
        <w:rPr>
          <w:rStyle w:val="FootnoteReference"/>
          <w:rFonts w:ascii="Arial" w:hAnsi="Arial" w:cs="Arial"/>
          <w:sz w:val="16"/>
          <w:szCs w:val="16"/>
        </w:rPr>
        <w:footnoteRef/>
      </w:r>
      <w:r w:rsidRPr="00C31E40">
        <w:rPr>
          <w:rFonts w:ascii="Arial" w:hAnsi="Arial" w:cs="Arial"/>
          <w:sz w:val="16"/>
          <w:szCs w:val="16"/>
          <w:lang w:val="es-AR"/>
        </w:rPr>
        <w:t xml:space="preserve"> Esta situación es probable que se deba a un problema en la base de datos. Aspecto que se planea trabajar en ulteriores ensayos.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CC" w:rsidRDefault="00E656CC" w:rsidP="00E43C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6CC" w:rsidRDefault="00E656CC" w:rsidP="00FF3D3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CC" w:rsidRDefault="00E656CC">
    <w:pPr>
      <w:pStyle w:val="Header"/>
      <w:jc w:val="center"/>
    </w:pPr>
  </w:p>
  <w:p w:rsidR="00E656CC" w:rsidRDefault="00E656CC" w:rsidP="00FF3D3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8DC"/>
    <w:multiLevelType w:val="singleLevel"/>
    <w:tmpl w:val="24A4F21A"/>
    <w:lvl w:ilvl="0">
      <w:start w:val="1"/>
      <w:numFmt w:val="bullet"/>
      <w:lvlText w:val=""/>
      <w:lvlJc w:val="left"/>
      <w:pPr>
        <w:tabs>
          <w:tab w:val="num" w:pos="454"/>
        </w:tabs>
        <w:ind w:left="454" w:hanging="397"/>
      </w:pPr>
      <w:rPr>
        <w:rFonts w:ascii="Symbol" w:hAnsi="Symbol" w:hint="default"/>
      </w:rPr>
    </w:lvl>
  </w:abstractNum>
  <w:abstractNum w:abstractNumId="1">
    <w:nsid w:val="1411071E"/>
    <w:multiLevelType w:val="hybridMultilevel"/>
    <w:tmpl w:val="F4ECA4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1D45CD"/>
    <w:multiLevelType w:val="hybridMultilevel"/>
    <w:tmpl w:val="FCBA0512"/>
    <w:lvl w:ilvl="0" w:tplc="E346A45C">
      <w:start w:val="1"/>
      <w:numFmt w:val="bullet"/>
      <w:lvlText w:val="•"/>
      <w:lvlJc w:val="left"/>
      <w:pPr>
        <w:tabs>
          <w:tab w:val="num" w:pos="720"/>
        </w:tabs>
        <w:ind w:left="720" w:hanging="360"/>
      </w:pPr>
      <w:rPr>
        <w:rFonts w:ascii="Arial" w:hAnsi="Arial" w:hint="default"/>
      </w:rPr>
    </w:lvl>
    <w:lvl w:ilvl="1" w:tplc="F6BACDD6" w:tentative="1">
      <w:start w:val="1"/>
      <w:numFmt w:val="bullet"/>
      <w:lvlText w:val="•"/>
      <w:lvlJc w:val="left"/>
      <w:pPr>
        <w:tabs>
          <w:tab w:val="num" w:pos="1440"/>
        </w:tabs>
        <w:ind w:left="1440" w:hanging="360"/>
      </w:pPr>
      <w:rPr>
        <w:rFonts w:ascii="Arial" w:hAnsi="Arial" w:hint="default"/>
      </w:rPr>
    </w:lvl>
    <w:lvl w:ilvl="2" w:tplc="2BF0FBA4" w:tentative="1">
      <w:start w:val="1"/>
      <w:numFmt w:val="bullet"/>
      <w:lvlText w:val="•"/>
      <w:lvlJc w:val="left"/>
      <w:pPr>
        <w:tabs>
          <w:tab w:val="num" w:pos="2160"/>
        </w:tabs>
        <w:ind w:left="2160" w:hanging="360"/>
      </w:pPr>
      <w:rPr>
        <w:rFonts w:ascii="Arial" w:hAnsi="Arial" w:hint="default"/>
      </w:rPr>
    </w:lvl>
    <w:lvl w:ilvl="3" w:tplc="73B6A03C" w:tentative="1">
      <w:start w:val="1"/>
      <w:numFmt w:val="bullet"/>
      <w:lvlText w:val="•"/>
      <w:lvlJc w:val="left"/>
      <w:pPr>
        <w:tabs>
          <w:tab w:val="num" w:pos="2880"/>
        </w:tabs>
        <w:ind w:left="2880" w:hanging="360"/>
      </w:pPr>
      <w:rPr>
        <w:rFonts w:ascii="Arial" w:hAnsi="Arial" w:hint="default"/>
      </w:rPr>
    </w:lvl>
    <w:lvl w:ilvl="4" w:tplc="B75A74C8" w:tentative="1">
      <w:start w:val="1"/>
      <w:numFmt w:val="bullet"/>
      <w:lvlText w:val="•"/>
      <w:lvlJc w:val="left"/>
      <w:pPr>
        <w:tabs>
          <w:tab w:val="num" w:pos="3600"/>
        </w:tabs>
        <w:ind w:left="3600" w:hanging="360"/>
      </w:pPr>
      <w:rPr>
        <w:rFonts w:ascii="Arial" w:hAnsi="Arial" w:hint="default"/>
      </w:rPr>
    </w:lvl>
    <w:lvl w:ilvl="5" w:tplc="9D36CD34" w:tentative="1">
      <w:start w:val="1"/>
      <w:numFmt w:val="bullet"/>
      <w:lvlText w:val="•"/>
      <w:lvlJc w:val="left"/>
      <w:pPr>
        <w:tabs>
          <w:tab w:val="num" w:pos="4320"/>
        </w:tabs>
        <w:ind w:left="4320" w:hanging="360"/>
      </w:pPr>
      <w:rPr>
        <w:rFonts w:ascii="Arial" w:hAnsi="Arial" w:hint="default"/>
      </w:rPr>
    </w:lvl>
    <w:lvl w:ilvl="6" w:tplc="BA340406" w:tentative="1">
      <w:start w:val="1"/>
      <w:numFmt w:val="bullet"/>
      <w:lvlText w:val="•"/>
      <w:lvlJc w:val="left"/>
      <w:pPr>
        <w:tabs>
          <w:tab w:val="num" w:pos="5040"/>
        </w:tabs>
        <w:ind w:left="5040" w:hanging="360"/>
      </w:pPr>
      <w:rPr>
        <w:rFonts w:ascii="Arial" w:hAnsi="Arial" w:hint="default"/>
      </w:rPr>
    </w:lvl>
    <w:lvl w:ilvl="7" w:tplc="B5D6811C" w:tentative="1">
      <w:start w:val="1"/>
      <w:numFmt w:val="bullet"/>
      <w:lvlText w:val="•"/>
      <w:lvlJc w:val="left"/>
      <w:pPr>
        <w:tabs>
          <w:tab w:val="num" w:pos="5760"/>
        </w:tabs>
        <w:ind w:left="5760" w:hanging="360"/>
      </w:pPr>
      <w:rPr>
        <w:rFonts w:ascii="Arial" w:hAnsi="Arial" w:hint="default"/>
      </w:rPr>
    </w:lvl>
    <w:lvl w:ilvl="8" w:tplc="9F40D9BE" w:tentative="1">
      <w:start w:val="1"/>
      <w:numFmt w:val="bullet"/>
      <w:lvlText w:val="•"/>
      <w:lvlJc w:val="left"/>
      <w:pPr>
        <w:tabs>
          <w:tab w:val="num" w:pos="6480"/>
        </w:tabs>
        <w:ind w:left="6480" w:hanging="360"/>
      </w:pPr>
      <w:rPr>
        <w:rFonts w:ascii="Arial" w:hAnsi="Arial" w:hint="default"/>
      </w:rPr>
    </w:lvl>
  </w:abstractNum>
  <w:abstractNum w:abstractNumId="3">
    <w:nsid w:val="18DF575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4">
    <w:nsid w:val="1AD46071"/>
    <w:multiLevelType w:val="singleLevel"/>
    <w:tmpl w:val="C1D0BFF0"/>
    <w:lvl w:ilvl="0">
      <w:start w:val="1"/>
      <w:numFmt w:val="bullet"/>
      <w:lvlText w:val=""/>
      <w:lvlJc w:val="left"/>
      <w:pPr>
        <w:tabs>
          <w:tab w:val="num" w:pos="360"/>
        </w:tabs>
        <w:ind w:left="284" w:hanging="284"/>
      </w:pPr>
      <w:rPr>
        <w:rFonts w:ascii="Symbol" w:hAnsi="Symbol" w:hint="default"/>
        <w:sz w:val="20"/>
      </w:rPr>
    </w:lvl>
  </w:abstractNum>
  <w:abstractNum w:abstractNumId="5">
    <w:nsid w:val="26013F4C"/>
    <w:multiLevelType w:val="hybridMultilevel"/>
    <w:tmpl w:val="24981E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0D1594"/>
    <w:multiLevelType w:val="hybridMultilevel"/>
    <w:tmpl w:val="1B0E4588"/>
    <w:lvl w:ilvl="0" w:tplc="EFBCBD6A">
      <w:start w:val="1"/>
      <w:numFmt w:val="bullet"/>
      <w:lvlText w:val="•"/>
      <w:lvlJc w:val="left"/>
      <w:pPr>
        <w:tabs>
          <w:tab w:val="num" w:pos="720"/>
        </w:tabs>
        <w:ind w:left="720" w:hanging="360"/>
      </w:pPr>
      <w:rPr>
        <w:rFonts w:ascii="Arial" w:hAnsi="Arial" w:hint="default"/>
      </w:rPr>
    </w:lvl>
    <w:lvl w:ilvl="1" w:tplc="407AFC40" w:tentative="1">
      <w:start w:val="1"/>
      <w:numFmt w:val="bullet"/>
      <w:lvlText w:val="•"/>
      <w:lvlJc w:val="left"/>
      <w:pPr>
        <w:tabs>
          <w:tab w:val="num" w:pos="1440"/>
        </w:tabs>
        <w:ind w:left="1440" w:hanging="360"/>
      </w:pPr>
      <w:rPr>
        <w:rFonts w:ascii="Arial" w:hAnsi="Arial" w:hint="default"/>
      </w:rPr>
    </w:lvl>
    <w:lvl w:ilvl="2" w:tplc="BBDA1CA2" w:tentative="1">
      <w:start w:val="1"/>
      <w:numFmt w:val="bullet"/>
      <w:lvlText w:val="•"/>
      <w:lvlJc w:val="left"/>
      <w:pPr>
        <w:tabs>
          <w:tab w:val="num" w:pos="2160"/>
        </w:tabs>
        <w:ind w:left="2160" w:hanging="360"/>
      </w:pPr>
      <w:rPr>
        <w:rFonts w:ascii="Arial" w:hAnsi="Arial" w:hint="default"/>
      </w:rPr>
    </w:lvl>
    <w:lvl w:ilvl="3" w:tplc="E61672DA" w:tentative="1">
      <w:start w:val="1"/>
      <w:numFmt w:val="bullet"/>
      <w:lvlText w:val="•"/>
      <w:lvlJc w:val="left"/>
      <w:pPr>
        <w:tabs>
          <w:tab w:val="num" w:pos="2880"/>
        </w:tabs>
        <w:ind w:left="2880" w:hanging="360"/>
      </w:pPr>
      <w:rPr>
        <w:rFonts w:ascii="Arial" w:hAnsi="Arial" w:hint="default"/>
      </w:rPr>
    </w:lvl>
    <w:lvl w:ilvl="4" w:tplc="8CB80B54" w:tentative="1">
      <w:start w:val="1"/>
      <w:numFmt w:val="bullet"/>
      <w:lvlText w:val="•"/>
      <w:lvlJc w:val="left"/>
      <w:pPr>
        <w:tabs>
          <w:tab w:val="num" w:pos="3600"/>
        </w:tabs>
        <w:ind w:left="3600" w:hanging="360"/>
      </w:pPr>
      <w:rPr>
        <w:rFonts w:ascii="Arial" w:hAnsi="Arial" w:hint="default"/>
      </w:rPr>
    </w:lvl>
    <w:lvl w:ilvl="5" w:tplc="0AE68130" w:tentative="1">
      <w:start w:val="1"/>
      <w:numFmt w:val="bullet"/>
      <w:lvlText w:val="•"/>
      <w:lvlJc w:val="left"/>
      <w:pPr>
        <w:tabs>
          <w:tab w:val="num" w:pos="4320"/>
        </w:tabs>
        <w:ind w:left="4320" w:hanging="360"/>
      </w:pPr>
      <w:rPr>
        <w:rFonts w:ascii="Arial" w:hAnsi="Arial" w:hint="default"/>
      </w:rPr>
    </w:lvl>
    <w:lvl w:ilvl="6" w:tplc="79344228" w:tentative="1">
      <w:start w:val="1"/>
      <w:numFmt w:val="bullet"/>
      <w:lvlText w:val="•"/>
      <w:lvlJc w:val="left"/>
      <w:pPr>
        <w:tabs>
          <w:tab w:val="num" w:pos="5040"/>
        </w:tabs>
        <w:ind w:left="5040" w:hanging="360"/>
      </w:pPr>
      <w:rPr>
        <w:rFonts w:ascii="Arial" w:hAnsi="Arial" w:hint="default"/>
      </w:rPr>
    </w:lvl>
    <w:lvl w:ilvl="7" w:tplc="524E0D08" w:tentative="1">
      <w:start w:val="1"/>
      <w:numFmt w:val="bullet"/>
      <w:lvlText w:val="•"/>
      <w:lvlJc w:val="left"/>
      <w:pPr>
        <w:tabs>
          <w:tab w:val="num" w:pos="5760"/>
        </w:tabs>
        <w:ind w:left="5760" w:hanging="360"/>
      </w:pPr>
      <w:rPr>
        <w:rFonts w:ascii="Arial" w:hAnsi="Arial" w:hint="default"/>
      </w:rPr>
    </w:lvl>
    <w:lvl w:ilvl="8" w:tplc="65EC6866" w:tentative="1">
      <w:start w:val="1"/>
      <w:numFmt w:val="bullet"/>
      <w:lvlText w:val="•"/>
      <w:lvlJc w:val="left"/>
      <w:pPr>
        <w:tabs>
          <w:tab w:val="num" w:pos="6480"/>
        </w:tabs>
        <w:ind w:left="6480" w:hanging="360"/>
      </w:pPr>
      <w:rPr>
        <w:rFonts w:ascii="Arial" w:hAnsi="Arial" w:hint="default"/>
      </w:rPr>
    </w:lvl>
  </w:abstractNum>
  <w:abstractNum w:abstractNumId="7">
    <w:nsid w:val="30475DBA"/>
    <w:multiLevelType w:val="hybridMultilevel"/>
    <w:tmpl w:val="3640B6A6"/>
    <w:lvl w:ilvl="0" w:tplc="3CCA7C62">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8">
    <w:nsid w:val="35A40403"/>
    <w:multiLevelType w:val="singleLevel"/>
    <w:tmpl w:val="7B5A8E94"/>
    <w:lvl w:ilvl="0">
      <w:start w:val="1"/>
      <w:numFmt w:val="bullet"/>
      <w:pStyle w:val="Heading2"/>
      <w:lvlText w:val=""/>
      <w:lvlJc w:val="left"/>
      <w:pPr>
        <w:tabs>
          <w:tab w:val="num" w:pos="454"/>
        </w:tabs>
        <w:ind w:left="454" w:hanging="397"/>
      </w:pPr>
      <w:rPr>
        <w:rFonts w:ascii="Symbol" w:hAnsi="Symbol" w:hint="default"/>
      </w:rPr>
    </w:lvl>
  </w:abstractNum>
  <w:abstractNum w:abstractNumId="9">
    <w:nsid w:val="3CAF4B3D"/>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0">
    <w:nsid w:val="3CC64148"/>
    <w:multiLevelType w:val="hybridMultilevel"/>
    <w:tmpl w:val="A5E4C8E0"/>
    <w:lvl w:ilvl="0" w:tplc="0C0A0015">
      <w:start w:val="5"/>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8EB1E84"/>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nsid w:val="49544FBF"/>
    <w:multiLevelType w:val="hybridMultilevel"/>
    <w:tmpl w:val="7CF89AE6"/>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nsid w:val="4C297774"/>
    <w:multiLevelType w:val="singleLevel"/>
    <w:tmpl w:val="ADB0ABF6"/>
    <w:lvl w:ilvl="0">
      <w:start w:val="7"/>
      <w:numFmt w:val="upperLetter"/>
      <w:pStyle w:val="Heading9"/>
      <w:lvlText w:val="%1."/>
      <w:lvlJc w:val="left"/>
      <w:pPr>
        <w:tabs>
          <w:tab w:val="num" w:pos="360"/>
        </w:tabs>
        <w:ind w:left="360" w:hanging="360"/>
      </w:pPr>
      <w:rPr>
        <w:rFonts w:cs="Times New Roman" w:hint="default"/>
      </w:rPr>
    </w:lvl>
  </w:abstractNum>
  <w:abstractNum w:abstractNumId="14">
    <w:nsid w:val="4F4B4148"/>
    <w:multiLevelType w:val="singleLevel"/>
    <w:tmpl w:val="0C0A0015"/>
    <w:lvl w:ilvl="0">
      <w:start w:val="1"/>
      <w:numFmt w:val="upperLetter"/>
      <w:lvlText w:val="%1."/>
      <w:lvlJc w:val="left"/>
      <w:pPr>
        <w:tabs>
          <w:tab w:val="num" w:pos="360"/>
        </w:tabs>
        <w:ind w:left="360" w:hanging="360"/>
      </w:pPr>
      <w:rPr>
        <w:rFonts w:cs="Times New Roman"/>
      </w:rPr>
    </w:lvl>
  </w:abstractNum>
  <w:abstractNum w:abstractNumId="15">
    <w:nsid w:val="52DA491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58504955"/>
    <w:multiLevelType w:val="singleLevel"/>
    <w:tmpl w:val="933E4C0A"/>
    <w:lvl w:ilvl="0">
      <w:start w:val="1"/>
      <w:numFmt w:val="upperLetter"/>
      <w:pStyle w:val="Heading1"/>
      <w:lvlText w:val="%1."/>
      <w:lvlJc w:val="left"/>
      <w:pPr>
        <w:tabs>
          <w:tab w:val="num" w:pos="360"/>
        </w:tabs>
        <w:ind w:left="360" w:hanging="360"/>
      </w:pPr>
      <w:rPr>
        <w:rFonts w:cs="Times New Roman"/>
      </w:rPr>
    </w:lvl>
  </w:abstractNum>
  <w:abstractNum w:abstractNumId="17">
    <w:nsid w:val="59DF79A3"/>
    <w:multiLevelType w:val="hybridMultilevel"/>
    <w:tmpl w:val="8E08684A"/>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8">
    <w:nsid w:val="5A040CE0"/>
    <w:multiLevelType w:val="singleLevel"/>
    <w:tmpl w:val="0C0A0015"/>
    <w:lvl w:ilvl="0">
      <w:start w:val="8"/>
      <w:numFmt w:val="upperLetter"/>
      <w:lvlText w:val="%1."/>
      <w:lvlJc w:val="left"/>
      <w:pPr>
        <w:tabs>
          <w:tab w:val="num" w:pos="360"/>
        </w:tabs>
        <w:ind w:left="360" w:hanging="360"/>
      </w:pPr>
      <w:rPr>
        <w:rFonts w:cs="Times New Roman" w:hint="default"/>
      </w:rPr>
    </w:lvl>
  </w:abstractNum>
  <w:abstractNum w:abstractNumId="19">
    <w:nsid w:val="5A97294B"/>
    <w:multiLevelType w:val="singleLevel"/>
    <w:tmpl w:val="3AB497E4"/>
    <w:lvl w:ilvl="0">
      <w:start w:val="1"/>
      <w:numFmt w:val="bullet"/>
      <w:lvlText w:val=""/>
      <w:lvlJc w:val="left"/>
      <w:pPr>
        <w:tabs>
          <w:tab w:val="num" w:pos="454"/>
        </w:tabs>
        <w:ind w:left="454" w:hanging="397"/>
      </w:pPr>
      <w:rPr>
        <w:rFonts w:ascii="Symbol" w:hAnsi="Symbol" w:hint="default"/>
      </w:rPr>
    </w:lvl>
  </w:abstractNum>
  <w:abstractNum w:abstractNumId="20">
    <w:nsid w:val="5B157EC5"/>
    <w:multiLevelType w:val="singleLevel"/>
    <w:tmpl w:val="3AB497E4"/>
    <w:lvl w:ilvl="0">
      <w:start w:val="1"/>
      <w:numFmt w:val="bullet"/>
      <w:lvlText w:val=""/>
      <w:lvlJc w:val="left"/>
      <w:pPr>
        <w:tabs>
          <w:tab w:val="num" w:pos="454"/>
        </w:tabs>
        <w:ind w:left="454" w:hanging="397"/>
      </w:pPr>
      <w:rPr>
        <w:rFonts w:ascii="Symbol" w:hAnsi="Symbol" w:hint="default"/>
      </w:rPr>
    </w:lvl>
  </w:abstractNum>
  <w:abstractNum w:abstractNumId="21">
    <w:nsid w:val="5C3D5E89"/>
    <w:multiLevelType w:val="hybridMultilevel"/>
    <w:tmpl w:val="2F067786"/>
    <w:lvl w:ilvl="0" w:tplc="415CC82E">
      <w:start w:val="1"/>
      <w:numFmt w:val="lowerLetter"/>
      <w:lvlText w:val="%1."/>
      <w:lvlJc w:val="left"/>
      <w:pPr>
        <w:ind w:left="1211" w:hanging="360"/>
      </w:pPr>
      <w:rPr>
        <w:rFonts w:cs="Times New Roman" w:hint="default"/>
      </w:rPr>
    </w:lvl>
    <w:lvl w:ilvl="1" w:tplc="2C0A0019" w:tentative="1">
      <w:start w:val="1"/>
      <w:numFmt w:val="lowerLetter"/>
      <w:lvlText w:val="%2."/>
      <w:lvlJc w:val="left"/>
      <w:pPr>
        <w:ind w:left="1931" w:hanging="360"/>
      </w:pPr>
      <w:rPr>
        <w:rFonts w:cs="Times New Roman"/>
      </w:rPr>
    </w:lvl>
    <w:lvl w:ilvl="2" w:tplc="2C0A001B" w:tentative="1">
      <w:start w:val="1"/>
      <w:numFmt w:val="lowerRoman"/>
      <w:lvlText w:val="%3."/>
      <w:lvlJc w:val="right"/>
      <w:pPr>
        <w:ind w:left="2651" w:hanging="180"/>
      </w:pPr>
      <w:rPr>
        <w:rFonts w:cs="Times New Roman"/>
      </w:rPr>
    </w:lvl>
    <w:lvl w:ilvl="3" w:tplc="2C0A000F" w:tentative="1">
      <w:start w:val="1"/>
      <w:numFmt w:val="decimal"/>
      <w:lvlText w:val="%4."/>
      <w:lvlJc w:val="left"/>
      <w:pPr>
        <w:ind w:left="3371" w:hanging="360"/>
      </w:pPr>
      <w:rPr>
        <w:rFonts w:cs="Times New Roman"/>
      </w:rPr>
    </w:lvl>
    <w:lvl w:ilvl="4" w:tplc="2C0A0019" w:tentative="1">
      <w:start w:val="1"/>
      <w:numFmt w:val="lowerLetter"/>
      <w:lvlText w:val="%5."/>
      <w:lvlJc w:val="left"/>
      <w:pPr>
        <w:ind w:left="4091" w:hanging="360"/>
      </w:pPr>
      <w:rPr>
        <w:rFonts w:cs="Times New Roman"/>
      </w:rPr>
    </w:lvl>
    <w:lvl w:ilvl="5" w:tplc="2C0A001B" w:tentative="1">
      <w:start w:val="1"/>
      <w:numFmt w:val="lowerRoman"/>
      <w:lvlText w:val="%6."/>
      <w:lvlJc w:val="right"/>
      <w:pPr>
        <w:ind w:left="4811" w:hanging="180"/>
      </w:pPr>
      <w:rPr>
        <w:rFonts w:cs="Times New Roman"/>
      </w:rPr>
    </w:lvl>
    <w:lvl w:ilvl="6" w:tplc="2C0A000F" w:tentative="1">
      <w:start w:val="1"/>
      <w:numFmt w:val="decimal"/>
      <w:lvlText w:val="%7."/>
      <w:lvlJc w:val="left"/>
      <w:pPr>
        <w:ind w:left="5531" w:hanging="360"/>
      </w:pPr>
      <w:rPr>
        <w:rFonts w:cs="Times New Roman"/>
      </w:rPr>
    </w:lvl>
    <w:lvl w:ilvl="7" w:tplc="2C0A0019" w:tentative="1">
      <w:start w:val="1"/>
      <w:numFmt w:val="lowerLetter"/>
      <w:lvlText w:val="%8."/>
      <w:lvlJc w:val="left"/>
      <w:pPr>
        <w:ind w:left="6251" w:hanging="360"/>
      </w:pPr>
      <w:rPr>
        <w:rFonts w:cs="Times New Roman"/>
      </w:rPr>
    </w:lvl>
    <w:lvl w:ilvl="8" w:tplc="2C0A001B" w:tentative="1">
      <w:start w:val="1"/>
      <w:numFmt w:val="lowerRoman"/>
      <w:lvlText w:val="%9."/>
      <w:lvlJc w:val="right"/>
      <w:pPr>
        <w:ind w:left="6971" w:hanging="180"/>
      </w:pPr>
      <w:rPr>
        <w:rFonts w:cs="Times New Roman"/>
      </w:rPr>
    </w:lvl>
  </w:abstractNum>
  <w:abstractNum w:abstractNumId="22">
    <w:nsid w:val="5EF413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626B0177"/>
    <w:multiLevelType w:val="singleLevel"/>
    <w:tmpl w:val="3AB497E4"/>
    <w:lvl w:ilvl="0">
      <w:start w:val="1"/>
      <w:numFmt w:val="bullet"/>
      <w:lvlText w:val=""/>
      <w:lvlJc w:val="left"/>
      <w:pPr>
        <w:tabs>
          <w:tab w:val="num" w:pos="454"/>
        </w:tabs>
        <w:ind w:left="454" w:hanging="397"/>
      </w:pPr>
      <w:rPr>
        <w:rFonts w:ascii="Symbol" w:hAnsi="Symbol" w:hint="default"/>
      </w:rPr>
    </w:lvl>
  </w:abstractNum>
  <w:abstractNum w:abstractNumId="24">
    <w:nsid w:val="670D3CAD"/>
    <w:multiLevelType w:val="hybridMultilevel"/>
    <w:tmpl w:val="6D445CD6"/>
    <w:lvl w:ilvl="0" w:tplc="4CB2B79C">
      <w:numFmt w:val="bullet"/>
      <w:lvlText w:val=""/>
      <w:lvlJc w:val="left"/>
      <w:pPr>
        <w:ind w:left="720" w:hanging="360"/>
      </w:pPr>
      <w:rPr>
        <w:rFonts w:ascii="Wingdings" w:eastAsia="Times New Roman"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A2F5275"/>
    <w:multiLevelType w:val="hybridMultilevel"/>
    <w:tmpl w:val="7B3A05CA"/>
    <w:lvl w:ilvl="0" w:tplc="EAF4584A">
      <w:start w:val="1"/>
      <w:numFmt w:val="lowerLetter"/>
      <w:lvlText w:val="%1)"/>
      <w:lvlJc w:val="left"/>
      <w:pPr>
        <w:ind w:left="1069" w:hanging="360"/>
      </w:pPr>
      <w:rPr>
        <w:rFonts w:cs="Times New Roman" w:hint="default"/>
      </w:rPr>
    </w:lvl>
    <w:lvl w:ilvl="1" w:tplc="2C0A0019" w:tentative="1">
      <w:start w:val="1"/>
      <w:numFmt w:val="lowerLetter"/>
      <w:lvlText w:val="%2."/>
      <w:lvlJc w:val="left"/>
      <w:pPr>
        <w:ind w:left="1789" w:hanging="360"/>
      </w:pPr>
      <w:rPr>
        <w:rFonts w:cs="Times New Roman"/>
      </w:rPr>
    </w:lvl>
    <w:lvl w:ilvl="2" w:tplc="2C0A001B" w:tentative="1">
      <w:start w:val="1"/>
      <w:numFmt w:val="lowerRoman"/>
      <w:lvlText w:val="%3."/>
      <w:lvlJc w:val="right"/>
      <w:pPr>
        <w:ind w:left="2509" w:hanging="180"/>
      </w:pPr>
      <w:rPr>
        <w:rFonts w:cs="Times New Roman"/>
      </w:rPr>
    </w:lvl>
    <w:lvl w:ilvl="3" w:tplc="2C0A000F" w:tentative="1">
      <w:start w:val="1"/>
      <w:numFmt w:val="decimal"/>
      <w:lvlText w:val="%4."/>
      <w:lvlJc w:val="left"/>
      <w:pPr>
        <w:ind w:left="3229" w:hanging="360"/>
      </w:pPr>
      <w:rPr>
        <w:rFonts w:cs="Times New Roman"/>
      </w:rPr>
    </w:lvl>
    <w:lvl w:ilvl="4" w:tplc="2C0A0019" w:tentative="1">
      <w:start w:val="1"/>
      <w:numFmt w:val="lowerLetter"/>
      <w:lvlText w:val="%5."/>
      <w:lvlJc w:val="left"/>
      <w:pPr>
        <w:ind w:left="3949" w:hanging="360"/>
      </w:pPr>
      <w:rPr>
        <w:rFonts w:cs="Times New Roman"/>
      </w:rPr>
    </w:lvl>
    <w:lvl w:ilvl="5" w:tplc="2C0A001B" w:tentative="1">
      <w:start w:val="1"/>
      <w:numFmt w:val="lowerRoman"/>
      <w:lvlText w:val="%6."/>
      <w:lvlJc w:val="right"/>
      <w:pPr>
        <w:ind w:left="4669" w:hanging="180"/>
      </w:pPr>
      <w:rPr>
        <w:rFonts w:cs="Times New Roman"/>
      </w:rPr>
    </w:lvl>
    <w:lvl w:ilvl="6" w:tplc="2C0A000F" w:tentative="1">
      <w:start w:val="1"/>
      <w:numFmt w:val="decimal"/>
      <w:lvlText w:val="%7."/>
      <w:lvlJc w:val="left"/>
      <w:pPr>
        <w:ind w:left="5389" w:hanging="360"/>
      </w:pPr>
      <w:rPr>
        <w:rFonts w:cs="Times New Roman"/>
      </w:rPr>
    </w:lvl>
    <w:lvl w:ilvl="7" w:tplc="2C0A0019" w:tentative="1">
      <w:start w:val="1"/>
      <w:numFmt w:val="lowerLetter"/>
      <w:lvlText w:val="%8."/>
      <w:lvlJc w:val="left"/>
      <w:pPr>
        <w:ind w:left="6109" w:hanging="360"/>
      </w:pPr>
      <w:rPr>
        <w:rFonts w:cs="Times New Roman"/>
      </w:rPr>
    </w:lvl>
    <w:lvl w:ilvl="8" w:tplc="2C0A001B" w:tentative="1">
      <w:start w:val="1"/>
      <w:numFmt w:val="lowerRoman"/>
      <w:lvlText w:val="%9."/>
      <w:lvlJc w:val="right"/>
      <w:pPr>
        <w:ind w:left="6829" w:hanging="180"/>
      </w:pPr>
      <w:rPr>
        <w:rFonts w:cs="Times New Roman"/>
      </w:rPr>
    </w:lvl>
  </w:abstractNum>
  <w:abstractNum w:abstractNumId="26">
    <w:nsid w:val="6BD3412F"/>
    <w:multiLevelType w:val="hybridMultilevel"/>
    <w:tmpl w:val="9F2A7B5A"/>
    <w:lvl w:ilvl="0" w:tplc="8EACFF80">
      <w:start w:val="1"/>
      <w:numFmt w:val="bullet"/>
      <w:lvlText w:val="•"/>
      <w:lvlJc w:val="left"/>
      <w:pPr>
        <w:tabs>
          <w:tab w:val="num" w:pos="720"/>
        </w:tabs>
        <w:ind w:left="720" w:hanging="360"/>
      </w:pPr>
      <w:rPr>
        <w:rFonts w:ascii="Arial" w:hAnsi="Arial" w:hint="default"/>
      </w:rPr>
    </w:lvl>
    <w:lvl w:ilvl="1" w:tplc="7622718C" w:tentative="1">
      <w:start w:val="1"/>
      <w:numFmt w:val="bullet"/>
      <w:lvlText w:val="•"/>
      <w:lvlJc w:val="left"/>
      <w:pPr>
        <w:tabs>
          <w:tab w:val="num" w:pos="1440"/>
        </w:tabs>
        <w:ind w:left="1440" w:hanging="360"/>
      </w:pPr>
      <w:rPr>
        <w:rFonts w:ascii="Arial" w:hAnsi="Arial" w:hint="default"/>
      </w:rPr>
    </w:lvl>
    <w:lvl w:ilvl="2" w:tplc="71E619EE" w:tentative="1">
      <w:start w:val="1"/>
      <w:numFmt w:val="bullet"/>
      <w:lvlText w:val="•"/>
      <w:lvlJc w:val="left"/>
      <w:pPr>
        <w:tabs>
          <w:tab w:val="num" w:pos="2160"/>
        </w:tabs>
        <w:ind w:left="2160" w:hanging="360"/>
      </w:pPr>
      <w:rPr>
        <w:rFonts w:ascii="Arial" w:hAnsi="Arial" w:hint="default"/>
      </w:rPr>
    </w:lvl>
    <w:lvl w:ilvl="3" w:tplc="03341B4C" w:tentative="1">
      <w:start w:val="1"/>
      <w:numFmt w:val="bullet"/>
      <w:lvlText w:val="•"/>
      <w:lvlJc w:val="left"/>
      <w:pPr>
        <w:tabs>
          <w:tab w:val="num" w:pos="2880"/>
        </w:tabs>
        <w:ind w:left="2880" w:hanging="360"/>
      </w:pPr>
      <w:rPr>
        <w:rFonts w:ascii="Arial" w:hAnsi="Arial" w:hint="default"/>
      </w:rPr>
    </w:lvl>
    <w:lvl w:ilvl="4" w:tplc="A80C5E3C" w:tentative="1">
      <w:start w:val="1"/>
      <w:numFmt w:val="bullet"/>
      <w:lvlText w:val="•"/>
      <w:lvlJc w:val="left"/>
      <w:pPr>
        <w:tabs>
          <w:tab w:val="num" w:pos="3600"/>
        </w:tabs>
        <w:ind w:left="3600" w:hanging="360"/>
      </w:pPr>
      <w:rPr>
        <w:rFonts w:ascii="Arial" w:hAnsi="Arial" w:hint="default"/>
      </w:rPr>
    </w:lvl>
    <w:lvl w:ilvl="5" w:tplc="93C0D7F0" w:tentative="1">
      <w:start w:val="1"/>
      <w:numFmt w:val="bullet"/>
      <w:lvlText w:val="•"/>
      <w:lvlJc w:val="left"/>
      <w:pPr>
        <w:tabs>
          <w:tab w:val="num" w:pos="4320"/>
        </w:tabs>
        <w:ind w:left="4320" w:hanging="360"/>
      </w:pPr>
      <w:rPr>
        <w:rFonts w:ascii="Arial" w:hAnsi="Arial" w:hint="default"/>
      </w:rPr>
    </w:lvl>
    <w:lvl w:ilvl="6" w:tplc="8A2887AC" w:tentative="1">
      <w:start w:val="1"/>
      <w:numFmt w:val="bullet"/>
      <w:lvlText w:val="•"/>
      <w:lvlJc w:val="left"/>
      <w:pPr>
        <w:tabs>
          <w:tab w:val="num" w:pos="5040"/>
        </w:tabs>
        <w:ind w:left="5040" w:hanging="360"/>
      </w:pPr>
      <w:rPr>
        <w:rFonts w:ascii="Arial" w:hAnsi="Arial" w:hint="default"/>
      </w:rPr>
    </w:lvl>
    <w:lvl w:ilvl="7" w:tplc="68EA5060" w:tentative="1">
      <w:start w:val="1"/>
      <w:numFmt w:val="bullet"/>
      <w:lvlText w:val="•"/>
      <w:lvlJc w:val="left"/>
      <w:pPr>
        <w:tabs>
          <w:tab w:val="num" w:pos="5760"/>
        </w:tabs>
        <w:ind w:left="5760" w:hanging="360"/>
      </w:pPr>
      <w:rPr>
        <w:rFonts w:ascii="Arial" w:hAnsi="Arial" w:hint="default"/>
      </w:rPr>
    </w:lvl>
    <w:lvl w:ilvl="8" w:tplc="E7E0243E" w:tentative="1">
      <w:start w:val="1"/>
      <w:numFmt w:val="bullet"/>
      <w:lvlText w:val="•"/>
      <w:lvlJc w:val="left"/>
      <w:pPr>
        <w:tabs>
          <w:tab w:val="num" w:pos="6480"/>
        </w:tabs>
        <w:ind w:left="6480" w:hanging="360"/>
      </w:pPr>
      <w:rPr>
        <w:rFonts w:ascii="Arial" w:hAnsi="Arial" w:hint="default"/>
      </w:rPr>
    </w:lvl>
  </w:abstractNum>
  <w:abstractNum w:abstractNumId="27">
    <w:nsid w:val="74163FD2"/>
    <w:multiLevelType w:val="hybridMultilevel"/>
    <w:tmpl w:val="2000EC0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11"/>
  </w:num>
  <w:num w:numId="4">
    <w:abstractNumId w:val="0"/>
  </w:num>
  <w:num w:numId="5">
    <w:abstractNumId w:val="16"/>
  </w:num>
  <w:num w:numId="6">
    <w:abstractNumId w:val="20"/>
  </w:num>
  <w:num w:numId="7">
    <w:abstractNumId w:val="13"/>
  </w:num>
  <w:num w:numId="8">
    <w:abstractNumId w:val="18"/>
  </w:num>
  <w:num w:numId="9">
    <w:abstractNumId w:val="14"/>
  </w:num>
  <w:num w:numId="10">
    <w:abstractNumId w:val="4"/>
  </w:num>
  <w:num w:numId="11">
    <w:abstractNumId w:val="19"/>
  </w:num>
  <w:num w:numId="12">
    <w:abstractNumId w:val="23"/>
  </w:num>
  <w:num w:numId="13">
    <w:abstractNumId w:val="9"/>
  </w:num>
  <w:num w:numId="14">
    <w:abstractNumId w:val="15"/>
  </w:num>
  <w:num w:numId="15">
    <w:abstractNumId w:val="10"/>
  </w:num>
  <w:num w:numId="16">
    <w:abstractNumId w:val="22"/>
  </w:num>
  <w:num w:numId="17">
    <w:abstractNumId w:val="1"/>
  </w:num>
  <w:num w:numId="18">
    <w:abstractNumId w:val="5"/>
  </w:num>
  <w:num w:numId="19">
    <w:abstractNumId w:val="2"/>
  </w:num>
  <w:num w:numId="20">
    <w:abstractNumId w:val="6"/>
  </w:num>
  <w:num w:numId="21">
    <w:abstractNumId w:val="26"/>
  </w:num>
  <w:num w:numId="22">
    <w:abstractNumId w:val="27"/>
  </w:num>
  <w:num w:numId="23">
    <w:abstractNumId w:val="24"/>
  </w:num>
  <w:num w:numId="24">
    <w:abstractNumId w:val="25"/>
  </w:num>
  <w:num w:numId="25">
    <w:abstractNumId w:val="12"/>
  </w:num>
  <w:num w:numId="26">
    <w:abstractNumId w:val="8"/>
  </w:num>
  <w:num w:numId="27">
    <w:abstractNumId w:val="8"/>
  </w:num>
  <w:num w:numId="28">
    <w:abstractNumId w:val="8"/>
  </w:num>
  <w:num w:numId="29">
    <w:abstractNumId w:val="8"/>
  </w:num>
  <w:num w:numId="30">
    <w:abstractNumId w:val="8"/>
  </w:num>
  <w:num w:numId="31">
    <w:abstractNumId w:val="21"/>
  </w:num>
  <w:num w:numId="32">
    <w:abstractNumId w:val="17"/>
  </w:num>
  <w:num w:numId="33">
    <w:abstractNumId w:val="8"/>
  </w:num>
  <w:num w:numId="34">
    <w:abstractNumId w:val="8"/>
  </w:num>
  <w:num w:numId="35">
    <w:abstractNumId w:val="8"/>
  </w:num>
  <w:num w:numId="36">
    <w:abstractNumId w:val="8"/>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CB5"/>
    <w:rsid w:val="00004BCE"/>
    <w:rsid w:val="00010885"/>
    <w:rsid w:val="00011A42"/>
    <w:rsid w:val="00013E78"/>
    <w:rsid w:val="000256FB"/>
    <w:rsid w:val="00034335"/>
    <w:rsid w:val="00042FA7"/>
    <w:rsid w:val="000444DD"/>
    <w:rsid w:val="0005073A"/>
    <w:rsid w:val="0007766E"/>
    <w:rsid w:val="000869F8"/>
    <w:rsid w:val="00087568"/>
    <w:rsid w:val="000969F4"/>
    <w:rsid w:val="000A287B"/>
    <w:rsid w:val="000A4BD4"/>
    <w:rsid w:val="000A7413"/>
    <w:rsid w:val="000B15FF"/>
    <w:rsid w:val="000B3E4F"/>
    <w:rsid w:val="000B5458"/>
    <w:rsid w:val="000C19F9"/>
    <w:rsid w:val="000C4D6F"/>
    <w:rsid w:val="000D0478"/>
    <w:rsid w:val="000D404D"/>
    <w:rsid w:val="000D6793"/>
    <w:rsid w:val="000D6CD0"/>
    <w:rsid w:val="000E10E3"/>
    <w:rsid w:val="000E2716"/>
    <w:rsid w:val="000E3001"/>
    <w:rsid w:val="000E3408"/>
    <w:rsid w:val="000F171B"/>
    <w:rsid w:val="000F779E"/>
    <w:rsid w:val="000F7B0E"/>
    <w:rsid w:val="001006CC"/>
    <w:rsid w:val="00101DAC"/>
    <w:rsid w:val="00103FEF"/>
    <w:rsid w:val="0011171C"/>
    <w:rsid w:val="0011651B"/>
    <w:rsid w:val="001207E2"/>
    <w:rsid w:val="0012350C"/>
    <w:rsid w:val="001340C5"/>
    <w:rsid w:val="00141E32"/>
    <w:rsid w:val="0015049C"/>
    <w:rsid w:val="00150E5E"/>
    <w:rsid w:val="0015277F"/>
    <w:rsid w:val="001560D1"/>
    <w:rsid w:val="001578AA"/>
    <w:rsid w:val="00160936"/>
    <w:rsid w:val="001618C0"/>
    <w:rsid w:val="00165C52"/>
    <w:rsid w:val="00167ACC"/>
    <w:rsid w:val="00171A4F"/>
    <w:rsid w:val="00171EDE"/>
    <w:rsid w:val="0017283D"/>
    <w:rsid w:val="00176591"/>
    <w:rsid w:val="00180934"/>
    <w:rsid w:val="00186F7E"/>
    <w:rsid w:val="001875F2"/>
    <w:rsid w:val="00195F63"/>
    <w:rsid w:val="0019693D"/>
    <w:rsid w:val="001A07DE"/>
    <w:rsid w:val="001A0CB5"/>
    <w:rsid w:val="001A146B"/>
    <w:rsid w:val="001A6541"/>
    <w:rsid w:val="001B1546"/>
    <w:rsid w:val="001B5AC2"/>
    <w:rsid w:val="001B5E61"/>
    <w:rsid w:val="001C2366"/>
    <w:rsid w:val="001C3558"/>
    <w:rsid w:val="001C46A1"/>
    <w:rsid w:val="001C6D47"/>
    <w:rsid w:val="001C718E"/>
    <w:rsid w:val="001C7FB8"/>
    <w:rsid w:val="001D01E6"/>
    <w:rsid w:val="001D06DC"/>
    <w:rsid w:val="001D2763"/>
    <w:rsid w:val="001D2B66"/>
    <w:rsid w:val="001D669B"/>
    <w:rsid w:val="001D71D4"/>
    <w:rsid w:val="001D7F24"/>
    <w:rsid w:val="001E4894"/>
    <w:rsid w:val="001E4B94"/>
    <w:rsid w:val="001F114B"/>
    <w:rsid w:val="001F1289"/>
    <w:rsid w:val="001F1957"/>
    <w:rsid w:val="001F1EFB"/>
    <w:rsid w:val="001F215A"/>
    <w:rsid w:val="001F4884"/>
    <w:rsid w:val="001F59CE"/>
    <w:rsid w:val="00203E18"/>
    <w:rsid w:val="00206907"/>
    <w:rsid w:val="00206C76"/>
    <w:rsid w:val="00210132"/>
    <w:rsid w:val="0021122E"/>
    <w:rsid w:val="002126F7"/>
    <w:rsid w:val="00212F26"/>
    <w:rsid w:val="00217733"/>
    <w:rsid w:val="00227141"/>
    <w:rsid w:val="00227B56"/>
    <w:rsid w:val="002316BE"/>
    <w:rsid w:val="00233CC2"/>
    <w:rsid w:val="00235D5E"/>
    <w:rsid w:val="00245F65"/>
    <w:rsid w:val="002476B2"/>
    <w:rsid w:val="00250808"/>
    <w:rsid w:val="00253B1B"/>
    <w:rsid w:val="00253C55"/>
    <w:rsid w:val="00256004"/>
    <w:rsid w:val="00257B6C"/>
    <w:rsid w:val="0026320B"/>
    <w:rsid w:val="00264E1E"/>
    <w:rsid w:val="00267144"/>
    <w:rsid w:val="00273843"/>
    <w:rsid w:val="00274C16"/>
    <w:rsid w:val="00281FD8"/>
    <w:rsid w:val="00284CD5"/>
    <w:rsid w:val="00292C6E"/>
    <w:rsid w:val="00293DA4"/>
    <w:rsid w:val="002A3E09"/>
    <w:rsid w:val="002A6392"/>
    <w:rsid w:val="002B55AA"/>
    <w:rsid w:val="002C10A3"/>
    <w:rsid w:val="002C6089"/>
    <w:rsid w:val="002D5030"/>
    <w:rsid w:val="002E0A44"/>
    <w:rsid w:val="002E7300"/>
    <w:rsid w:val="002E756B"/>
    <w:rsid w:val="002F154C"/>
    <w:rsid w:val="002F2884"/>
    <w:rsid w:val="002F34EB"/>
    <w:rsid w:val="002F4703"/>
    <w:rsid w:val="002F5473"/>
    <w:rsid w:val="002F655F"/>
    <w:rsid w:val="00301DA5"/>
    <w:rsid w:val="00302F60"/>
    <w:rsid w:val="00303327"/>
    <w:rsid w:val="00306006"/>
    <w:rsid w:val="003069D5"/>
    <w:rsid w:val="00310F4E"/>
    <w:rsid w:val="003124C9"/>
    <w:rsid w:val="00315F26"/>
    <w:rsid w:val="00317925"/>
    <w:rsid w:val="003219C5"/>
    <w:rsid w:val="003253DB"/>
    <w:rsid w:val="00326548"/>
    <w:rsid w:val="00331F1F"/>
    <w:rsid w:val="00336392"/>
    <w:rsid w:val="003457D4"/>
    <w:rsid w:val="00350CB3"/>
    <w:rsid w:val="00350EBA"/>
    <w:rsid w:val="003513B6"/>
    <w:rsid w:val="00353BA5"/>
    <w:rsid w:val="003600A1"/>
    <w:rsid w:val="00360C27"/>
    <w:rsid w:val="00367C46"/>
    <w:rsid w:val="00374A6E"/>
    <w:rsid w:val="00375A5E"/>
    <w:rsid w:val="00381AEA"/>
    <w:rsid w:val="003821A6"/>
    <w:rsid w:val="00393E97"/>
    <w:rsid w:val="003A2C77"/>
    <w:rsid w:val="003A724A"/>
    <w:rsid w:val="003B5D3A"/>
    <w:rsid w:val="003B64B2"/>
    <w:rsid w:val="003B7666"/>
    <w:rsid w:val="003B7766"/>
    <w:rsid w:val="003C0AC8"/>
    <w:rsid w:val="003D0D40"/>
    <w:rsid w:val="003D2190"/>
    <w:rsid w:val="003D428D"/>
    <w:rsid w:val="003D4745"/>
    <w:rsid w:val="003D5B87"/>
    <w:rsid w:val="003E28A0"/>
    <w:rsid w:val="003E6D68"/>
    <w:rsid w:val="003E7694"/>
    <w:rsid w:val="003F0898"/>
    <w:rsid w:val="003F0C89"/>
    <w:rsid w:val="003F0CAE"/>
    <w:rsid w:val="004041ED"/>
    <w:rsid w:val="00405086"/>
    <w:rsid w:val="00406139"/>
    <w:rsid w:val="00413E2E"/>
    <w:rsid w:val="00420A6E"/>
    <w:rsid w:val="00420A6F"/>
    <w:rsid w:val="00420B23"/>
    <w:rsid w:val="0042153F"/>
    <w:rsid w:val="00421DBD"/>
    <w:rsid w:val="0042672D"/>
    <w:rsid w:val="00426810"/>
    <w:rsid w:val="0043123B"/>
    <w:rsid w:val="00431462"/>
    <w:rsid w:val="00442E9D"/>
    <w:rsid w:val="00444AED"/>
    <w:rsid w:val="00446A8C"/>
    <w:rsid w:val="00452658"/>
    <w:rsid w:val="00452CE0"/>
    <w:rsid w:val="004568B1"/>
    <w:rsid w:val="00457986"/>
    <w:rsid w:val="0046363E"/>
    <w:rsid w:val="00464D89"/>
    <w:rsid w:val="00466EA6"/>
    <w:rsid w:val="004679B5"/>
    <w:rsid w:val="0047042B"/>
    <w:rsid w:val="00472B05"/>
    <w:rsid w:val="00474B7D"/>
    <w:rsid w:val="00477BEE"/>
    <w:rsid w:val="004815FF"/>
    <w:rsid w:val="0048234A"/>
    <w:rsid w:val="00485704"/>
    <w:rsid w:val="004857A2"/>
    <w:rsid w:val="00491820"/>
    <w:rsid w:val="00495C2B"/>
    <w:rsid w:val="004B296B"/>
    <w:rsid w:val="004B3518"/>
    <w:rsid w:val="004B5E8E"/>
    <w:rsid w:val="004C3CF4"/>
    <w:rsid w:val="004C53C2"/>
    <w:rsid w:val="004C66EA"/>
    <w:rsid w:val="004D031E"/>
    <w:rsid w:val="004D4DA8"/>
    <w:rsid w:val="004E1236"/>
    <w:rsid w:val="004E2CD6"/>
    <w:rsid w:val="00504955"/>
    <w:rsid w:val="00506EC3"/>
    <w:rsid w:val="00513C6F"/>
    <w:rsid w:val="00514640"/>
    <w:rsid w:val="005146C3"/>
    <w:rsid w:val="005220B7"/>
    <w:rsid w:val="00524088"/>
    <w:rsid w:val="00524814"/>
    <w:rsid w:val="00530D96"/>
    <w:rsid w:val="00531ADB"/>
    <w:rsid w:val="00541C9F"/>
    <w:rsid w:val="00541F37"/>
    <w:rsid w:val="00543D19"/>
    <w:rsid w:val="00544AFC"/>
    <w:rsid w:val="00546270"/>
    <w:rsid w:val="00553337"/>
    <w:rsid w:val="00560041"/>
    <w:rsid w:val="00561253"/>
    <w:rsid w:val="005623D1"/>
    <w:rsid w:val="0056782C"/>
    <w:rsid w:val="005700C6"/>
    <w:rsid w:val="00570139"/>
    <w:rsid w:val="005748A8"/>
    <w:rsid w:val="00580A68"/>
    <w:rsid w:val="005816C3"/>
    <w:rsid w:val="005823C4"/>
    <w:rsid w:val="00584BBF"/>
    <w:rsid w:val="00593568"/>
    <w:rsid w:val="005958B0"/>
    <w:rsid w:val="00595F33"/>
    <w:rsid w:val="00596D6C"/>
    <w:rsid w:val="00597CFD"/>
    <w:rsid w:val="00597EF8"/>
    <w:rsid w:val="005A10DA"/>
    <w:rsid w:val="005B37C5"/>
    <w:rsid w:val="005B3A84"/>
    <w:rsid w:val="005B4146"/>
    <w:rsid w:val="005B48BA"/>
    <w:rsid w:val="005C07CB"/>
    <w:rsid w:val="005C124A"/>
    <w:rsid w:val="005C7552"/>
    <w:rsid w:val="005C7B47"/>
    <w:rsid w:val="005D4905"/>
    <w:rsid w:val="005E0EA4"/>
    <w:rsid w:val="005E127C"/>
    <w:rsid w:val="005E16F7"/>
    <w:rsid w:val="005F0994"/>
    <w:rsid w:val="005F1A9A"/>
    <w:rsid w:val="005F244A"/>
    <w:rsid w:val="005F64AB"/>
    <w:rsid w:val="005F693C"/>
    <w:rsid w:val="00604978"/>
    <w:rsid w:val="006070BD"/>
    <w:rsid w:val="00607248"/>
    <w:rsid w:val="00611E0D"/>
    <w:rsid w:val="00613529"/>
    <w:rsid w:val="0062196B"/>
    <w:rsid w:val="00622380"/>
    <w:rsid w:val="00622FFE"/>
    <w:rsid w:val="0062431D"/>
    <w:rsid w:val="00627637"/>
    <w:rsid w:val="00627911"/>
    <w:rsid w:val="00631768"/>
    <w:rsid w:val="006318A5"/>
    <w:rsid w:val="00634FE8"/>
    <w:rsid w:val="00637442"/>
    <w:rsid w:val="00637A4C"/>
    <w:rsid w:val="00640B6B"/>
    <w:rsid w:val="00641ACD"/>
    <w:rsid w:val="0064278A"/>
    <w:rsid w:val="00646E70"/>
    <w:rsid w:val="0065400A"/>
    <w:rsid w:val="00656164"/>
    <w:rsid w:val="00657957"/>
    <w:rsid w:val="00657EE3"/>
    <w:rsid w:val="006602F1"/>
    <w:rsid w:val="006614F6"/>
    <w:rsid w:val="00664362"/>
    <w:rsid w:val="00667585"/>
    <w:rsid w:val="006706DD"/>
    <w:rsid w:val="00670CF0"/>
    <w:rsid w:val="006715FE"/>
    <w:rsid w:val="00672306"/>
    <w:rsid w:val="006758B0"/>
    <w:rsid w:val="00675AB0"/>
    <w:rsid w:val="0068308E"/>
    <w:rsid w:val="00683EB7"/>
    <w:rsid w:val="006859E1"/>
    <w:rsid w:val="006864B4"/>
    <w:rsid w:val="0069162F"/>
    <w:rsid w:val="0069454C"/>
    <w:rsid w:val="006A1013"/>
    <w:rsid w:val="006A288A"/>
    <w:rsid w:val="006A3D7D"/>
    <w:rsid w:val="006B151D"/>
    <w:rsid w:val="006B2247"/>
    <w:rsid w:val="006B4586"/>
    <w:rsid w:val="006B63DC"/>
    <w:rsid w:val="006B6773"/>
    <w:rsid w:val="006C2B29"/>
    <w:rsid w:val="006C305B"/>
    <w:rsid w:val="006D31E0"/>
    <w:rsid w:val="006D7050"/>
    <w:rsid w:val="006E13AF"/>
    <w:rsid w:val="006F0764"/>
    <w:rsid w:val="006F1359"/>
    <w:rsid w:val="006F1C59"/>
    <w:rsid w:val="00700E08"/>
    <w:rsid w:val="00706771"/>
    <w:rsid w:val="00707ABE"/>
    <w:rsid w:val="007103C0"/>
    <w:rsid w:val="007104AB"/>
    <w:rsid w:val="007105B1"/>
    <w:rsid w:val="007129E8"/>
    <w:rsid w:val="007136A4"/>
    <w:rsid w:val="00716457"/>
    <w:rsid w:val="00716769"/>
    <w:rsid w:val="007214AF"/>
    <w:rsid w:val="00721728"/>
    <w:rsid w:val="00721F75"/>
    <w:rsid w:val="00731189"/>
    <w:rsid w:val="00734381"/>
    <w:rsid w:val="00741C31"/>
    <w:rsid w:val="00742C81"/>
    <w:rsid w:val="00742EE5"/>
    <w:rsid w:val="00743CC4"/>
    <w:rsid w:val="00754F0C"/>
    <w:rsid w:val="007578AC"/>
    <w:rsid w:val="00757D92"/>
    <w:rsid w:val="007618B2"/>
    <w:rsid w:val="007623E6"/>
    <w:rsid w:val="00763C5A"/>
    <w:rsid w:val="00764A6F"/>
    <w:rsid w:val="00764AAE"/>
    <w:rsid w:val="00764B17"/>
    <w:rsid w:val="00764F3C"/>
    <w:rsid w:val="007651F0"/>
    <w:rsid w:val="007676D8"/>
    <w:rsid w:val="00767815"/>
    <w:rsid w:val="00770726"/>
    <w:rsid w:val="00774387"/>
    <w:rsid w:val="00775989"/>
    <w:rsid w:val="0077692C"/>
    <w:rsid w:val="00781AD0"/>
    <w:rsid w:val="00787196"/>
    <w:rsid w:val="00787869"/>
    <w:rsid w:val="00787CB9"/>
    <w:rsid w:val="00787CFF"/>
    <w:rsid w:val="007A1C36"/>
    <w:rsid w:val="007A34C0"/>
    <w:rsid w:val="007A4141"/>
    <w:rsid w:val="007A503E"/>
    <w:rsid w:val="007A5EE6"/>
    <w:rsid w:val="007A6ABC"/>
    <w:rsid w:val="007A6B62"/>
    <w:rsid w:val="007B0BA8"/>
    <w:rsid w:val="007B447B"/>
    <w:rsid w:val="007C1FCA"/>
    <w:rsid w:val="007D0A14"/>
    <w:rsid w:val="007D3B79"/>
    <w:rsid w:val="007D4A03"/>
    <w:rsid w:val="007E4F2D"/>
    <w:rsid w:val="007F5F92"/>
    <w:rsid w:val="00800B08"/>
    <w:rsid w:val="008011D9"/>
    <w:rsid w:val="0080314D"/>
    <w:rsid w:val="008045B3"/>
    <w:rsid w:val="0080701A"/>
    <w:rsid w:val="00814B3C"/>
    <w:rsid w:val="00820661"/>
    <w:rsid w:val="008237A9"/>
    <w:rsid w:val="0082775E"/>
    <w:rsid w:val="0083043A"/>
    <w:rsid w:val="00837F03"/>
    <w:rsid w:val="00841CDC"/>
    <w:rsid w:val="00852B19"/>
    <w:rsid w:val="00853B4A"/>
    <w:rsid w:val="008542C6"/>
    <w:rsid w:val="00856D0C"/>
    <w:rsid w:val="00856E99"/>
    <w:rsid w:val="008606BB"/>
    <w:rsid w:val="00861D05"/>
    <w:rsid w:val="00862D31"/>
    <w:rsid w:val="0086355B"/>
    <w:rsid w:val="00865B33"/>
    <w:rsid w:val="0086651E"/>
    <w:rsid w:val="008718EC"/>
    <w:rsid w:val="00871F50"/>
    <w:rsid w:val="00873A9C"/>
    <w:rsid w:val="00884D6A"/>
    <w:rsid w:val="00884E99"/>
    <w:rsid w:val="00885136"/>
    <w:rsid w:val="008851AC"/>
    <w:rsid w:val="00890514"/>
    <w:rsid w:val="0089073F"/>
    <w:rsid w:val="00893E94"/>
    <w:rsid w:val="00894CCC"/>
    <w:rsid w:val="00895559"/>
    <w:rsid w:val="008969B7"/>
    <w:rsid w:val="008A0288"/>
    <w:rsid w:val="008A3CCB"/>
    <w:rsid w:val="008A42AD"/>
    <w:rsid w:val="008A5C6A"/>
    <w:rsid w:val="008A790A"/>
    <w:rsid w:val="008B5704"/>
    <w:rsid w:val="008B7602"/>
    <w:rsid w:val="008C2CFA"/>
    <w:rsid w:val="008C3163"/>
    <w:rsid w:val="008C4477"/>
    <w:rsid w:val="008D6FF1"/>
    <w:rsid w:val="008E0B61"/>
    <w:rsid w:val="008E15E3"/>
    <w:rsid w:val="008E1B74"/>
    <w:rsid w:val="008E4948"/>
    <w:rsid w:val="008F1727"/>
    <w:rsid w:val="008F2EB0"/>
    <w:rsid w:val="008F4862"/>
    <w:rsid w:val="008F771D"/>
    <w:rsid w:val="00903454"/>
    <w:rsid w:val="0090715B"/>
    <w:rsid w:val="00907DEF"/>
    <w:rsid w:val="00912082"/>
    <w:rsid w:val="0091448A"/>
    <w:rsid w:val="00922A8D"/>
    <w:rsid w:val="00924D6A"/>
    <w:rsid w:val="009337C3"/>
    <w:rsid w:val="009403E4"/>
    <w:rsid w:val="00944F83"/>
    <w:rsid w:val="009453C3"/>
    <w:rsid w:val="00950C72"/>
    <w:rsid w:val="00960C63"/>
    <w:rsid w:val="00961CF8"/>
    <w:rsid w:val="00964C3D"/>
    <w:rsid w:val="00965F11"/>
    <w:rsid w:val="00970121"/>
    <w:rsid w:val="009730FB"/>
    <w:rsid w:val="00973E68"/>
    <w:rsid w:val="00975CA1"/>
    <w:rsid w:val="00981329"/>
    <w:rsid w:val="009821ED"/>
    <w:rsid w:val="009829D6"/>
    <w:rsid w:val="009901CC"/>
    <w:rsid w:val="0099235A"/>
    <w:rsid w:val="009947B0"/>
    <w:rsid w:val="00996FCD"/>
    <w:rsid w:val="00997FEC"/>
    <w:rsid w:val="009A2908"/>
    <w:rsid w:val="009A3ADB"/>
    <w:rsid w:val="009A4294"/>
    <w:rsid w:val="009A649C"/>
    <w:rsid w:val="009A7E5E"/>
    <w:rsid w:val="009B126A"/>
    <w:rsid w:val="009B440C"/>
    <w:rsid w:val="009B6281"/>
    <w:rsid w:val="009C1859"/>
    <w:rsid w:val="009C51AA"/>
    <w:rsid w:val="009D0281"/>
    <w:rsid w:val="009D5B7A"/>
    <w:rsid w:val="009D71C8"/>
    <w:rsid w:val="009E262F"/>
    <w:rsid w:val="009E5418"/>
    <w:rsid w:val="009E6FC7"/>
    <w:rsid w:val="009F0AC3"/>
    <w:rsid w:val="009F4CE8"/>
    <w:rsid w:val="009F7B31"/>
    <w:rsid w:val="00A003A6"/>
    <w:rsid w:val="00A06741"/>
    <w:rsid w:val="00A17AA3"/>
    <w:rsid w:val="00A17EA5"/>
    <w:rsid w:val="00A26186"/>
    <w:rsid w:val="00A26B5C"/>
    <w:rsid w:val="00A270A9"/>
    <w:rsid w:val="00A307BD"/>
    <w:rsid w:val="00A37C2D"/>
    <w:rsid w:val="00A4016D"/>
    <w:rsid w:val="00A445E0"/>
    <w:rsid w:val="00A45490"/>
    <w:rsid w:val="00A45807"/>
    <w:rsid w:val="00A46910"/>
    <w:rsid w:val="00A52B6E"/>
    <w:rsid w:val="00A5368D"/>
    <w:rsid w:val="00A53E8E"/>
    <w:rsid w:val="00A55BEC"/>
    <w:rsid w:val="00A562C0"/>
    <w:rsid w:val="00A567DD"/>
    <w:rsid w:val="00A57290"/>
    <w:rsid w:val="00A578B7"/>
    <w:rsid w:val="00A60517"/>
    <w:rsid w:val="00A60646"/>
    <w:rsid w:val="00A61080"/>
    <w:rsid w:val="00A62A4E"/>
    <w:rsid w:val="00A6545C"/>
    <w:rsid w:val="00A704EC"/>
    <w:rsid w:val="00A71EEA"/>
    <w:rsid w:val="00A7380D"/>
    <w:rsid w:val="00A73FBF"/>
    <w:rsid w:val="00A74196"/>
    <w:rsid w:val="00A81E7D"/>
    <w:rsid w:val="00A8242C"/>
    <w:rsid w:val="00A843E7"/>
    <w:rsid w:val="00A84A81"/>
    <w:rsid w:val="00A91C5A"/>
    <w:rsid w:val="00A9281A"/>
    <w:rsid w:val="00A95DCC"/>
    <w:rsid w:val="00AA075B"/>
    <w:rsid w:val="00AA10F4"/>
    <w:rsid w:val="00AA43DA"/>
    <w:rsid w:val="00AA4D5F"/>
    <w:rsid w:val="00AA4EBB"/>
    <w:rsid w:val="00AB15CB"/>
    <w:rsid w:val="00AB41AF"/>
    <w:rsid w:val="00AC325C"/>
    <w:rsid w:val="00AC3FF0"/>
    <w:rsid w:val="00AC48C9"/>
    <w:rsid w:val="00AD1A4C"/>
    <w:rsid w:val="00AD2109"/>
    <w:rsid w:val="00AD46D9"/>
    <w:rsid w:val="00AE0507"/>
    <w:rsid w:val="00AE68DE"/>
    <w:rsid w:val="00AE73C7"/>
    <w:rsid w:val="00AF1E18"/>
    <w:rsid w:val="00AF2291"/>
    <w:rsid w:val="00AF2D7F"/>
    <w:rsid w:val="00AF3373"/>
    <w:rsid w:val="00AF54CE"/>
    <w:rsid w:val="00AF781C"/>
    <w:rsid w:val="00B01BDE"/>
    <w:rsid w:val="00B13DE5"/>
    <w:rsid w:val="00B155C2"/>
    <w:rsid w:val="00B20254"/>
    <w:rsid w:val="00B20E31"/>
    <w:rsid w:val="00B27257"/>
    <w:rsid w:val="00B277CB"/>
    <w:rsid w:val="00B31EC0"/>
    <w:rsid w:val="00B32590"/>
    <w:rsid w:val="00B32B80"/>
    <w:rsid w:val="00B41EEF"/>
    <w:rsid w:val="00B42523"/>
    <w:rsid w:val="00B505FC"/>
    <w:rsid w:val="00B51D03"/>
    <w:rsid w:val="00B52092"/>
    <w:rsid w:val="00B56E83"/>
    <w:rsid w:val="00B62DEA"/>
    <w:rsid w:val="00B6619D"/>
    <w:rsid w:val="00B6749F"/>
    <w:rsid w:val="00B675D5"/>
    <w:rsid w:val="00B701BE"/>
    <w:rsid w:val="00B719AD"/>
    <w:rsid w:val="00B7366B"/>
    <w:rsid w:val="00B73AA8"/>
    <w:rsid w:val="00B77102"/>
    <w:rsid w:val="00B7736E"/>
    <w:rsid w:val="00B773C4"/>
    <w:rsid w:val="00B803A8"/>
    <w:rsid w:val="00B81A55"/>
    <w:rsid w:val="00B8347D"/>
    <w:rsid w:val="00B9201A"/>
    <w:rsid w:val="00B976BA"/>
    <w:rsid w:val="00BA0CEF"/>
    <w:rsid w:val="00BA2C3E"/>
    <w:rsid w:val="00BA30C8"/>
    <w:rsid w:val="00BA4BFC"/>
    <w:rsid w:val="00BA5238"/>
    <w:rsid w:val="00BA56F8"/>
    <w:rsid w:val="00BB2B87"/>
    <w:rsid w:val="00BB7E2F"/>
    <w:rsid w:val="00BC21A6"/>
    <w:rsid w:val="00BC5F3D"/>
    <w:rsid w:val="00BC7828"/>
    <w:rsid w:val="00BD136F"/>
    <w:rsid w:val="00BD195C"/>
    <w:rsid w:val="00BD1FE1"/>
    <w:rsid w:val="00BD7E1D"/>
    <w:rsid w:val="00BE1B74"/>
    <w:rsid w:val="00BE4896"/>
    <w:rsid w:val="00BE5B67"/>
    <w:rsid w:val="00BE7142"/>
    <w:rsid w:val="00BF0934"/>
    <w:rsid w:val="00BF6F0F"/>
    <w:rsid w:val="00C01CD9"/>
    <w:rsid w:val="00C02495"/>
    <w:rsid w:val="00C02855"/>
    <w:rsid w:val="00C030E3"/>
    <w:rsid w:val="00C123D7"/>
    <w:rsid w:val="00C14DE0"/>
    <w:rsid w:val="00C17309"/>
    <w:rsid w:val="00C20D86"/>
    <w:rsid w:val="00C21914"/>
    <w:rsid w:val="00C26050"/>
    <w:rsid w:val="00C31084"/>
    <w:rsid w:val="00C31E40"/>
    <w:rsid w:val="00C344AC"/>
    <w:rsid w:val="00C361B5"/>
    <w:rsid w:val="00C4048C"/>
    <w:rsid w:val="00C405CE"/>
    <w:rsid w:val="00C41FFE"/>
    <w:rsid w:val="00C42C92"/>
    <w:rsid w:val="00C4787E"/>
    <w:rsid w:val="00C626EC"/>
    <w:rsid w:val="00C637F4"/>
    <w:rsid w:val="00C64391"/>
    <w:rsid w:val="00C66515"/>
    <w:rsid w:val="00C674C3"/>
    <w:rsid w:val="00C67E0A"/>
    <w:rsid w:val="00C717E4"/>
    <w:rsid w:val="00C72E4B"/>
    <w:rsid w:val="00C74DB7"/>
    <w:rsid w:val="00C76526"/>
    <w:rsid w:val="00C86895"/>
    <w:rsid w:val="00C86DA3"/>
    <w:rsid w:val="00C87104"/>
    <w:rsid w:val="00C90122"/>
    <w:rsid w:val="00C91F9C"/>
    <w:rsid w:val="00C9282A"/>
    <w:rsid w:val="00C97ABE"/>
    <w:rsid w:val="00CA28B7"/>
    <w:rsid w:val="00CA4517"/>
    <w:rsid w:val="00CB6430"/>
    <w:rsid w:val="00CB6A2C"/>
    <w:rsid w:val="00CC10A4"/>
    <w:rsid w:val="00CC1499"/>
    <w:rsid w:val="00CC59BD"/>
    <w:rsid w:val="00CC7F0C"/>
    <w:rsid w:val="00CD05CD"/>
    <w:rsid w:val="00CD33CF"/>
    <w:rsid w:val="00CE06E8"/>
    <w:rsid w:val="00CF3255"/>
    <w:rsid w:val="00CF7780"/>
    <w:rsid w:val="00D003FA"/>
    <w:rsid w:val="00D0445B"/>
    <w:rsid w:val="00D0481A"/>
    <w:rsid w:val="00D04ACC"/>
    <w:rsid w:val="00D053C4"/>
    <w:rsid w:val="00D058B9"/>
    <w:rsid w:val="00D1165A"/>
    <w:rsid w:val="00D178C8"/>
    <w:rsid w:val="00D207D5"/>
    <w:rsid w:val="00D225AE"/>
    <w:rsid w:val="00D23DCC"/>
    <w:rsid w:val="00D24F27"/>
    <w:rsid w:val="00D260D4"/>
    <w:rsid w:val="00D34341"/>
    <w:rsid w:val="00D41D28"/>
    <w:rsid w:val="00D50C6F"/>
    <w:rsid w:val="00D555E0"/>
    <w:rsid w:val="00D6567C"/>
    <w:rsid w:val="00D77018"/>
    <w:rsid w:val="00D817FE"/>
    <w:rsid w:val="00D81973"/>
    <w:rsid w:val="00D828A2"/>
    <w:rsid w:val="00D8420F"/>
    <w:rsid w:val="00D84FC8"/>
    <w:rsid w:val="00D86778"/>
    <w:rsid w:val="00D87D37"/>
    <w:rsid w:val="00DB216C"/>
    <w:rsid w:val="00DB4725"/>
    <w:rsid w:val="00DB735A"/>
    <w:rsid w:val="00DC126F"/>
    <w:rsid w:val="00DC3188"/>
    <w:rsid w:val="00DC42D3"/>
    <w:rsid w:val="00DC48CD"/>
    <w:rsid w:val="00DC6D85"/>
    <w:rsid w:val="00DD0FE3"/>
    <w:rsid w:val="00DD424D"/>
    <w:rsid w:val="00DE02BC"/>
    <w:rsid w:val="00DE19AE"/>
    <w:rsid w:val="00DE564D"/>
    <w:rsid w:val="00DE6150"/>
    <w:rsid w:val="00DF0F9A"/>
    <w:rsid w:val="00DF5482"/>
    <w:rsid w:val="00E00225"/>
    <w:rsid w:val="00E01598"/>
    <w:rsid w:val="00E020C2"/>
    <w:rsid w:val="00E03F8C"/>
    <w:rsid w:val="00E0581C"/>
    <w:rsid w:val="00E115D6"/>
    <w:rsid w:val="00E134B9"/>
    <w:rsid w:val="00E140EC"/>
    <w:rsid w:val="00E14119"/>
    <w:rsid w:val="00E15C0B"/>
    <w:rsid w:val="00E16191"/>
    <w:rsid w:val="00E16DC7"/>
    <w:rsid w:val="00E20C77"/>
    <w:rsid w:val="00E212D8"/>
    <w:rsid w:val="00E25471"/>
    <w:rsid w:val="00E272C7"/>
    <w:rsid w:val="00E27A5B"/>
    <w:rsid w:val="00E3291F"/>
    <w:rsid w:val="00E32D3A"/>
    <w:rsid w:val="00E3403E"/>
    <w:rsid w:val="00E36550"/>
    <w:rsid w:val="00E36ABD"/>
    <w:rsid w:val="00E418E7"/>
    <w:rsid w:val="00E41CD4"/>
    <w:rsid w:val="00E43C03"/>
    <w:rsid w:val="00E45E8E"/>
    <w:rsid w:val="00E521BF"/>
    <w:rsid w:val="00E5476F"/>
    <w:rsid w:val="00E55A36"/>
    <w:rsid w:val="00E55E75"/>
    <w:rsid w:val="00E61F3B"/>
    <w:rsid w:val="00E62185"/>
    <w:rsid w:val="00E64AB4"/>
    <w:rsid w:val="00E64CA2"/>
    <w:rsid w:val="00E656CC"/>
    <w:rsid w:val="00E7152A"/>
    <w:rsid w:val="00E75013"/>
    <w:rsid w:val="00E808C3"/>
    <w:rsid w:val="00E90408"/>
    <w:rsid w:val="00E93D78"/>
    <w:rsid w:val="00E97524"/>
    <w:rsid w:val="00E97FBF"/>
    <w:rsid w:val="00EA6134"/>
    <w:rsid w:val="00EA72F2"/>
    <w:rsid w:val="00EA76D2"/>
    <w:rsid w:val="00EB002B"/>
    <w:rsid w:val="00EB2749"/>
    <w:rsid w:val="00EB43D7"/>
    <w:rsid w:val="00EB5091"/>
    <w:rsid w:val="00EC09B4"/>
    <w:rsid w:val="00EC2AE5"/>
    <w:rsid w:val="00EC592D"/>
    <w:rsid w:val="00EC70DA"/>
    <w:rsid w:val="00ED1099"/>
    <w:rsid w:val="00EE0FE6"/>
    <w:rsid w:val="00EE1C11"/>
    <w:rsid w:val="00EE336D"/>
    <w:rsid w:val="00EE35DC"/>
    <w:rsid w:val="00EE5D08"/>
    <w:rsid w:val="00EE7928"/>
    <w:rsid w:val="00EF020D"/>
    <w:rsid w:val="00EF11C7"/>
    <w:rsid w:val="00EF313A"/>
    <w:rsid w:val="00F02D74"/>
    <w:rsid w:val="00F02FDC"/>
    <w:rsid w:val="00F07A87"/>
    <w:rsid w:val="00F105E7"/>
    <w:rsid w:val="00F117AF"/>
    <w:rsid w:val="00F14F92"/>
    <w:rsid w:val="00F167F5"/>
    <w:rsid w:val="00F20A51"/>
    <w:rsid w:val="00F23CD6"/>
    <w:rsid w:val="00F26DFB"/>
    <w:rsid w:val="00F26E45"/>
    <w:rsid w:val="00F301E1"/>
    <w:rsid w:val="00F3415B"/>
    <w:rsid w:val="00F36B66"/>
    <w:rsid w:val="00F36BF2"/>
    <w:rsid w:val="00F370CF"/>
    <w:rsid w:val="00F41B6C"/>
    <w:rsid w:val="00F4263F"/>
    <w:rsid w:val="00F44D70"/>
    <w:rsid w:val="00F5186A"/>
    <w:rsid w:val="00F60458"/>
    <w:rsid w:val="00F62846"/>
    <w:rsid w:val="00F6427D"/>
    <w:rsid w:val="00F77219"/>
    <w:rsid w:val="00F8017B"/>
    <w:rsid w:val="00F84419"/>
    <w:rsid w:val="00F900F9"/>
    <w:rsid w:val="00F90FB5"/>
    <w:rsid w:val="00F923A0"/>
    <w:rsid w:val="00F929EE"/>
    <w:rsid w:val="00F965DC"/>
    <w:rsid w:val="00FA3BE7"/>
    <w:rsid w:val="00FA445A"/>
    <w:rsid w:val="00FA4D4D"/>
    <w:rsid w:val="00FA5EAC"/>
    <w:rsid w:val="00FA6281"/>
    <w:rsid w:val="00FA7504"/>
    <w:rsid w:val="00FB1C3C"/>
    <w:rsid w:val="00FB28E5"/>
    <w:rsid w:val="00FB3908"/>
    <w:rsid w:val="00FB4895"/>
    <w:rsid w:val="00FB5314"/>
    <w:rsid w:val="00FB5FA2"/>
    <w:rsid w:val="00FC071B"/>
    <w:rsid w:val="00FC222A"/>
    <w:rsid w:val="00FC2F91"/>
    <w:rsid w:val="00FC3E3F"/>
    <w:rsid w:val="00FC6F6A"/>
    <w:rsid w:val="00FC7BD7"/>
    <w:rsid w:val="00FD200F"/>
    <w:rsid w:val="00FD3CFA"/>
    <w:rsid w:val="00FD535F"/>
    <w:rsid w:val="00FE3181"/>
    <w:rsid w:val="00FF04BF"/>
    <w:rsid w:val="00FF1E4F"/>
    <w:rsid w:val="00FF3D3A"/>
    <w:rsid w:val="00FF4348"/>
    <w:rsid w:val="00FF667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iPriority="0" w:unhideWhenUsed="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4E"/>
    <w:rPr>
      <w:sz w:val="20"/>
      <w:szCs w:val="20"/>
      <w:lang w:val="es-ES" w:eastAsia="ja-JP"/>
    </w:rPr>
  </w:style>
  <w:style w:type="paragraph" w:styleId="Heading1">
    <w:name w:val="heading 1"/>
    <w:basedOn w:val="Normal"/>
    <w:next w:val="Normal"/>
    <w:link w:val="Heading1Char"/>
    <w:uiPriority w:val="99"/>
    <w:qFormat/>
    <w:rsid w:val="001A0CB5"/>
    <w:pPr>
      <w:keepNext/>
      <w:numPr>
        <w:numId w:val="5"/>
      </w:numPr>
      <w:outlineLvl w:val="0"/>
    </w:pPr>
    <w:rPr>
      <w:rFonts w:ascii="Arial" w:hAnsi="Arial"/>
      <w:b/>
      <w:sz w:val="28"/>
      <w:lang w:val="es-AR"/>
    </w:rPr>
  </w:style>
  <w:style w:type="paragraph" w:styleId="Heading2">
    <w:name w:val="heading 2"/>
    <w:basedOn w:val="Normal"/>
    <w:next w:val="Normal"/>
    <w:link w:val="Heading2Char"/>
    <w:uiPriority w:val="99"/>
    <w:qFormat/>
    <w:rsid w:val="001A0CB5"/>
    <w:pPr>
      <w:keepNext/>
      <w:numPr>
        <w:numId w:val="2"/>
      </w:numPr>
      <w:outlineLvl w:val="1"/>
    </w:pPr>
    <w:rPr>
      <w:rFonts w:ascii="Arial" w:hAnsi="Arial"/>
      <w:b/>
      <w:sz w:val="24"/>
      <w:lang w:val="es-ES_tradnl"/>
    </w:rPr>
  </w:style>
  <w:style w:type="paragraph" w:styleId="Heading3">
    <w:name w:val="heading 3"/>
    <w:basedOn w:val="Normal"/>
    <w:next w:val="Normal"/>
    <w:link w:val="Heading3Char"/>
    <w:uiPriority w:val="99"/>
    <w:qFormat/>
    <w:rsid w:val="001A0CB5"/>
    <w:pPr>
      <w:keepNext/>
      <w:outlineLvl w:val="2"/>
    </w:pPr>
    <w:rPr>
      <w:rFonts w:ascii="Arial" w:hAnsi="Arial"/>
      <w:b/>
      <w:sz w:val="24"/>
      <w:u w:val="single"/>
    </w:rPr>
  </w:style>
  <w:style w:type="paragraph" w:styleId="Heading4">
    <w:name w:val="heading 4"/>
    <w:basedOn w:val="Normal"/>
    <w:next w:val="Normal"/>
    <w:link w:val="Heading4Char"/>
    <w:uiPriority w:val="99"/>
    <w:qFormat/>
    <w:rsid w:val="001A0CB5"/>
    <w:pPr>
      <w:keepNext/>
      <w:jc w:val="center"/>
      <w:outlineLvl w:val="3"/>
    </w:pPr>
    <w:rPr>
      <w:sz w:val="24"/>
      <w:lang w:val="es-ES_tradnl"/>
    </w:rPr>
  </w:style>
  <w:style w:type="paragraph" w:styleId="Heading9">
    <w:name w:val="heading 9"/>
    <w:basedOn w:val="Normal"/>
    <w:next w:val="Normal"/>
    <w:link w:val="Heading9Char"/>
    <w:uiPriority w:val="99"/>
    <w:qFormat/>
    <w:rsid w:val="001A0CB5"/>
    <w:pPr>
      <w:keepNext/>
      <w:numPr>
        <w:numId w:val="7"/>
      </w:numPr>
      <w:jc w:val="both"/>
      <w:outlineLvl w:val="8"/>
    </w:pPr>
    <w:rPr>
      <w:b/>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7248"/>
    <w:rPr>
      <w:rFonts w:ascii="Cambria" w:hAnsi="Cambria" w:cs="Times New Roman"/>
      <w:b/>
      <w:bCs/>
      <w:kern w:val="32"/>
      <w:sz w:val="32"/>
      <w:szCs w:val="32"/>
      <w:lang w:val="es-ES" w:eastAsia="ja-JP"/>
    </w:rPr>
  </w:style>
  <w:style w:type="character" w:customStyle="1" w:styleId="Heading2Char">
    <w:name w:val="Heading 2 Char"/>
    <w:basedOn w:val="DefaultParagraphFont"/>
    <w:link w:val="Heading2"/>
    <w:uiPriority w:val="99"/>
    <w:locked/>
    <w:rsid w:val="00607248"/>
    <w:rPr>
      <w:rFonts w:ascii="Arial" w:hAnsi="Arial" w:cs="Times New Roman"/>
      <w:b/>
      <w:sz w:val="24"/>
      <w:lang w:val="es-ES_tradnl" w:eastAsia="ja-JP"/>
    </w:rPr>
  </w:style>
  <w:style w:type="character" w:customStyle="1" w:styleId="Heading3Char">
    <w:name w:val="Heading 3 Char"/>
    <w:basedOn w:val="DefaultParagraphFont"/>
    <w:link w:val="Heading3"/>
    <w:uiPriority w:val="99"/>
    <w:semiHidden/>
    <w:locked/>
    <w:rsid w:val="00607248"/>
    <w:rPr>
      <w:rFonts w:ascii="Cambria" w:hAnsi="Cambria" w:cs="Times New Roman"/>
      <w:b/>
      <w:bCs/>
      <w:sz w:val="26"/>
      <w:szCs w:val="26"/>
      <w:lang w:val="es-ES" w:eastAsia="ja-JP"/>
    </w:rPr>
  </w:style>
  <w:style w:type="character" w:customStyle="1" w:styleId="Heading4Char">
    <w:name w:val="Heading 4 Char"/>
    <w:basedOn w:val="DefaultParagraphFont"/>
    <w:link w:val="Heading4"/>
    <w:uiPriority w:val="99"/>
    <w:semiHidden/>
    <w:locked/>
    <w:rsid w:val="00607248"/>
    <w:rPr>
      <w:rFonts w:ascii="Calibri" w:hAnsi="Calibri" w:cs="Times New Roman"/>
      <w:b/>
      <w:bCs/>
      <w:sz w:val="28"/>
      <w:szCs w:val="28"/>
      <w:lang w:val="es-ES" w:eastAsia="ja-JP"/>
    </w:rPr>
  </w:style>
  <w:style w:type="character" w:customStyle="1" w:styleId="Heading9Char">
    <w:name w:val="Heading 9 Char"/>
    <w:basedOn w:val="DefaultParagraphFont"/>
    <w:link w:val="Heading9"/>
    <w:uiPriority w:val="99"/>
    <w:semiHidden/>
    <w:locked/>
    <w:rsid w:val="00607248"/>
    <w:rPr>
      <w:rFonts w:ascii="Cambria" w:hAnsi="Cambria" w:cs="Times New Roman"/>
      <w:lang w:val="es-ES" w:eastAsia="ja-JP"/>
    </w:rPr>
  </w:style>
  <w:style w:type="paragraph" w:styleId="BodyTextIndent2">
    <w:name w:val="Body Text Indent 2"/>
    <w:basedOn w:val="Normal"/>
    <w:link w:val="BodyTextIndent2Char"/>
    <w:uiPriority w:val="99"/>
    <w:rsid w:val="001A0CB5"/>
    <w:pPr>
      <w:ind w:left="426"/>
    </w:pPr>
    <w:rPr>
      <w:i/>
      <w:sz w:val="24"/>
      <w:lang w:val="es-ES_tradnl"/>
    </w:rPr>
  </w:style>
  <w:style w:type="character" w:customStyle="1" w:styleId="BodyTextIndent2Char">
    <w:name w:val="Body Text Indent 2 Char"/>
    <w:basedOn w:val="DefaultParagraphFont"/>
    <w:link w:val="BodyTextIndent2"/>
    <w:uiPriority w:val="99"/>
    <w:locked/>
    <w:rsid w:val="00607248"/>
    <w:rPr>
      <w:rFonts w:cs="Times New Roman"/>
      <w:sz w:val="20"/>
      <w:szCs w:val="20"/>
      <w:lang w:val="es-ES" w:eastAsia="ja-JP"/>
    </w:rPr>
  </w:style>
  <w:style w:type="paragraph" w:styleId="FootnoteText">
    <w:name w:val="footnote text"/>
    <w:aliases w:val="5_G,Footnote Text Char Char Char Char Char,Footnote Text Char Char Char Char,Footnote reference,FA Fu,Footnote Text Cha,Footnote Text Char Char Char,FA Fußnotentext,FA Fuﬂnotentext,Footnote Text Char Char,Texto nota pie Car Car,ft,Geneva"/>
    <w:basedOn w:val="Normal"/>
    <w:link w:val="FootnoteTextChar"/>
    <w:uiPriority w:val="99"/>
    <w:rsid w:val="001A0CB5"/>
    <w:rPr>
      <w:lang w:val="en-US"/>
    </w:rPr>
  </w:style>
  <w:style w:type="character" w:customStyle="1" w:styleId="FootnoteTextChar">
    <w:name w:val="Footnote Text Char"/>
    <w:aliases w:val="5_G Char,Footnote Text Char Char Char Char Char Char,Footnote Text Char Char Char Char Char1,Footnote reference Char,FA Fu Char,Footnote Text Cha Char,Footnote Text Char Char Char Char1,FA Fußnotentext Char,FA Fuﬂnotentext Char"/>
    <w:basedOn w:val="DefaultParagraphFont"/>
    <w:link w:val="FootnoteText"/>
    <w:uiPriority w:val="99"/>
    <w:locked/>
    <w:rsid w:val="00865B33"/>
    <w:rPr>
      <w:rFonts w:cs="Times New Roman"/>
      <w:lang w:val="en-US" w:eastAsia="ja-JP"/>
    </w:rPr>
  </w:style>
  <w:style w:type="character" w:styleId="FootnoteReference">
    <w:name w:val="footnote reference"/>
    <w:aliases w:val="4_G,Texto de nota al pie,referencia nota al pie,Appel note de bas de page"/>
    <w:basedOn w:val="DefaultParagraphFont"/>
    <w:uiPriority w:val="99"/>
    <w:rsid w:val="001A0CB5"/>
    <w:rPr>
      <w:rFonts w:cs="Times New Roman"/>
      <w:vertAlign w:val="superscript"/>
    </w:rPr>
  </w:style>
  <w:style w:type="paragraph" w:styleId="BodyTextIndent3">
    <w:name w:val="Body Text Indent 3"/>
    <w:basedOn w:val="Normal"/>
    <w:link w:val="BodyTextIndent3Char"/>
    <w:uiPriority w:val="99"/>
    <w:rsid w:val="001A0CB5"/>
    <w:pPr>
      <w:ind w:left="360"/>
    </w:pPr>
    <w:rPr>
      <w:sz w:val="24"/>
      <w:lang w:val="en-US"/>
    </w:rPr>
  </w:style>
  <w:style w:type="character" w:customStyle="1" w:styleId="BodyTextIndent3Char">
    <w:name w:val="Body Text Indent 3 Char"/>
    <w:basedOn w:val="DefaultParagraphFont"/>
    <w:link w:val="BodyTextIndent3"/>
    <w:uiPriority w:val="99"/>
    <w:semiHidden/>
    <w:locked/>
    <w:rsid w:val="00607248"/>
    <w:rPr>
      <w:rFonts w:cs="Times New Roman"/>
      <w:sz w:val="16"/>
      <w:szCs w:val="16"/>
      <w:lang w:val="es-ES" w:eastAsia="ja-JP"/>
    </w:rPr>
  </w:style>
  <w:style w:type="paragraph" w:styleId="BodyText">
    <w:name w:val="Body Text"/>
    <w:basedOn w:val="Normal"/>
    <w:link w:val="BodyTextChar"/>
    <w:uiPriority w:val="99"/>
    <w:rsid w:val="001A0CB5"/>
    <w:pPr>
      <w:jc w:val="both"/>
    </w:pPr>
    <w:rPr>
      <w:sz w:val="24"/>
    </w:rPr>
  </w:style>
  <w:style w:type="character" w:customStyle="1" w:styleId="BodyTextChar">
    <w:name w:val="Body Text Char"/>
    <w:basedOn w:val="DefaultParagraphFont"/>
    <w:link w:val="BodyText"/>
    <w:uiPriority w:val="99"/>
    <w:semiHidden/>
    <w:locked/>
    <w:rsid w:val="00607248"/>
    <w:rPr>
      <w:rFonts w:cs="Times New Roman"/>
      <w:sz w:val="20"/>
      <w:szCs w:val="20"/>
      <w:lang w:val="es-ES" w:eastAsia="ja-JP"/>
    </w:rPr>
  </w:style>
  <w:style w:type="paragraph" w:styleId="BodyTextIndent">
    <w:name w:val="Body Text Indent"/>
    <w:basedOn w:val="Normal"/>
    <w:link w:val="BodyTextIndentChar"/>
    <w:uiPriority w:val="99"/>
    <w:rsid w:val="001A0CB5"/>
    <w:pPr>
      <w:ind w:firstLine="390"/>
      <w:jc w:val="both"/>
    </w:pPr>
    <w:rPr>
      <w:sz w:val="22"/>
      <w:lang w:val="es-ES_tradnl"/>
    </w:rPr>
  </w:style>
  <w:style w:type="character" w:customStyle="1" w:styleId="BodyTextIndentChar">
    <w:name w:val="Body Text Indent Char"/>
    <w:basedOn w:val="DefaultParagraphFont"/>
    <w:link w:val="BodyTextIndent"/>
    <w:uiPriority w:val="99"/>
    <w:semiHidden/>
    <w:locked/>
    <w:rsid w:val="00607248"/>
    <w:rPr>
      <w:rFonts w:cs="Times New Roman"/>
      <w:sz w:val="20"/>
      <w:szCs w:val="20"/>
      <w:lang w:val="es-ES" w:eastAsia="ja-JP"/>
    </w:rPr>
  </w:style>
  <w:style w:type="paragraph" w:styleId="Header">
    <w:name w:val="header"/>
    <w:basedOn w:val="Normal"/>
    <w:link w:val="HeaderChar"/>
    <w:uiPriority w:val="99"/>
    <w:rsid w:val="001A0CB5"/>
    <w:pPr>
      <w:tabs>
        <w:tab w:val="center" w:pos="4252"/>
        <w:tab w:val="right" w:pos="8504"/>
      </w:tabs>
    </w:pPr>
  </w:style>
  <w:style w:type="character" w:customStyle="1" w:styleId="HeaderChar">
    <w:name w:val="Header Char"/>
    <w:basedOn w:val="DefaultParagraphFont"/>
    <w:link w:val="Header"/>
    <w:uiPriority w:val="99"/>
    <w:locked/>
    <w:rsid w:val="00607248"/>
    <w:rPr>
      <w:rFonts w:cs="Times New Roman"/>
      <w:sz w:val="20"/>
      <w:szCs w:val="20"/>
      <w:lang w:val="es-ES" w:eastAsia="ja-JP"/>
    </w:rPr>
  </w:style>
  <w:style w:type="paragraph" w:styleId="Footer">
    <w:name w:val="footer"/>
    <w:basedOn w:val="Normal"/>
    <w:link w:val="FooterChar"/>
    <w:uiPriority w:val="99"/>
    <w:rsid w:val="001A0CB5"/>
    <w:pPr>
      <w:tabs>
        <w:tab w:val="center" w:pos="4252"/>
        <w:tab w:val="right" w:pos="8504"/>
      </w:tabs>
    </w:pPr>
  </w:style>
  <w:style w:type="character" w:customStyle="1" w:styleId="FooterChar">
    <w:name w:val="Footer Char"/>
    <w:basedOn w:val="DefaultParagraphFont"/>
    <w:link w:val="Footer"/>
    <w:uiPriority w:val="99"/>
    <w:locked/>
    <w:rsid w:val="00607248"/>
    <w:rPr>
      <w:rFonts w:cs="Times New Roman"/>
      <w:sz w:val="20"/>
      <w:szCs w:val="20"/>
      <w:lang w:val="es-ES" w:eastAsia="ja-JP"/>
    </w:rPr>
  </w:style>
  <w:style w:type="character" w:styleId="PageNumber">
    <w:name w:val="page number"/>
    <w:basedOn w:val="DefaultParagraphFont"/>
    <w:uiPriority w:val="99"/>
    <w:rsid w:val="00FF3D3A"/>
    <w:rPr>
      <w:rFonts w:cs="Times New Roman"/>
    </w:rPr>
  </w:style>
  <w:style w:type="character" w:styleId="Hyperlink">
    <w:name w:val="Hyperlink"/>
    <w:basedOn w:val="DefaultParagraphFont"/>
    <w:uiPriority w:val="99"/>
    <w:rsid w:val="008E4948"/>
    <w:rPr>
      <w:rFonts w:cs="Times New Roman"/>
      <w:color w:val="0000FF"/>
      <w:u w:val="single"/>
    </w:rPr>
  </w:style>
  <w:style w:type="character" w:customStyle="1" w:styleId="a">
    <w:name w:val="a"/>
    <w:uiPriority w:val="99"/>
    <w:rsid w:val="0069162F"/>
  </w:style>
  <w:style w:type="character" w:customStyle="1" w:styleId="apple-converted-space">
    <w:name w:val="apple-converted-space"/>
    <w:uiPriority w:val="99"/>
    <w:rsid w:val="0069162F"/>
  </w:style>
  <w:style w:type="paragraph" w:styleId="NormalWeb">
    <w:name w:val="Normal (Web)"/>
    <w:basedOn w:val="Normal"/>
    <w:uiPriority w:val="99"/>
    <w:rsid w:val="00E61F3B"/>
    <w:pPr>
      <w:spacing w:before="100" w:beforeAutospacing="1" w:after="100" w:afterAutospacing="1"/>
    </w:pPr>
    <w:rPr>
      <w:sz w:val="24"/>
      <w:szCs w:val="24"/>
      <w:lang w:val="es-AR" w:eastAsia="es-AR"/>
    </w:rPr>
  </w:style>
  <w:style w:type="paragraph" w:styleId="HTMLPreformatted">
    <w:name w:val="HTML Preformatted"/>
    <w:basedOn w:val="Normal"/>
    <w:link w:val="HTMLPreformattedChar"/>
    <w:uiPriority w:val="99"/>
    <w:rsid w:val="00EC7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AR" w:eastAsia="es-ES"/>
    </w:rPr>
  </w:style>
  <w:style w:type="character" w:customStyle="1" w:styleId="HTMLPreformattedChar">
    <w:name w:val="HTML Preformatted Char"/>
    <w:basedOn w:val="DefaultParagraphFont"/>
    <w:link w:val="HTMLPreformatted"/>
    <w:uiPriority w:val="99"/>
    <w:locked/>
    <w:rsid w:val="00EC70DA"/>
    <w:rPr>
      <w:rFonts w:ascii="Courier New" w:hAnsi="Courier New" w:cs="Times New Roman"/>
    </w:rPr>
  </w:style>
  <w:style w:type="paragraph" w:styleId="ListParagraph">
    <w:name w:val="List Paragraph"/>
    <w:basedOn w:val="Normal"/>
    <w:uiPriority w:val="99"/>
    <w:qFormat/>
    <w:rsid w:val="003B64B2"/>
    <w:pPr>
      <w:ind w:left="720"/>
      <w:contextualSpacing/>
    </w:pPr>
    <w:rPr>
      <w:sz w:val="24"/>
      <w:szCs w:val="24"/>
      <w:lang w:val="es-AR" w:eastAsia="es-AR"/>
    </w:rPr>
  </w:style>
  <w:style w:type="character" w:styleId="Emphasis">
    <w:name w:val="Emphasis"/>
    <w:basedOn w:val="DefaultParagraphFont"/>
    <w:uiPriority w:val="99"/>
    <w:qFormat/>
    <w:rsid w:val="00317925"/>
    <w:rPr>
      <w:rFonts w:cs="Times New Roman"/>
      <w:i/>
    </w:rPr>
  </w:style>
  <w:style w:type="paragraph" w:styleId="BalloonText">
    <w:name w:val="Balloon Text"/>
    <w:basedOn w:val="Normal"/>
    <w:link w:val="BalloonTextChar"/>
    <w:uiPriority w:val="99"/>
    <w:semiHidden/>
    <w:rsid w:val="00302F60"/>
    <w:rPr>
      <w:rFonts w:ascii="Tahoma" w:hAnsi="Tahoma"/>
      <w:sz w:val="16"/>
      <w:szCs w:val="16"/>
    </w:rPr>
  </w:style>
  <w:style w:type="character" w:customStyle="1" w:styleId="BalloonTextChar">
    <w:name w:val="Balloon Text Char"/>
    <w:basedOn w:val="DefaultParagraphFont"/>
    <w:link w:val="BalloonText"/>
    <w:uiPriority w:val="99"/>
    <w:semiHidden/>
    <w:locked/>
    <w:rsid w:val="00865B33"/>
    <w:rPr>
      <w:rFonts w:ascii="Tahoma" w:hAnsi="Tahoma" w:cs="Times New Roman"/>
      <w:sz w:val="16"/>
      <w:lang w:val="es-ES" w:eastAsia="ja-JP"/>
    </w:rPr>
  </w:style>
  <w:style w:type="table" w:styleId="LightShading-Accent1">
    <w:name w:val="Light Shading Accent 1"/>
    <w:basedOn w:val="TableNormal"/>
    <w:uiPriority w:val="99"/>
    <w:rsid w:val="00E7152A"/>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rsid w:val="00B976BA"/>
    <w:rPr>
      <w:rFonts w:cs="Times New Roman"/>
      <w:sz w:val="16"/>
    </w:rPr>
  </w:style>
  <w:style w:type="paragraph" w:styleId="CommentText">
    <w:name w:val="annotation text"/>
    <w:basedOn w:val="Normal"/>
    <w:link w:val="CommentTextChar"/>
    <w:uiPriority w:val="99"/>
    <w:rsid w:val="00B976BA"/>
    <w:pPr>
      <w:spacing w:after="200"/>
    </w:pPr>
    <w:rPr>
      <w:rFonts w:ascii="Calibri" w:hAnsi="Calibri"/>
      <w:lang w:eastAsia="en-US"/>
    </w:rPr>
  </w:style>
  <w:style w:type="character" w:customStyle="1" w:styleId="CommentTextChar">
    <w:name w:val="Comment Text Char"/>
    <w:basedOn w:val="DefaultParagraphFont"/>
    <w:link w:val="CommentText"/>
    <w:uiPriority w:val="99"/>
    <w:locked/>
    <w:rsid w:val="00B976BA"/>
    <w:rPr>
      <w:rFonts w:ascii="Calibri" w:hAnsi="Calibri" w:cs="Times New Roman"/>
      <w:lang w:val="es-ES" w:eastAsia="en-US"/>
    </w:rPr>
  </w:style>
  <w:style w:type="paragraph" w:customStyle="1" w:styleId="Prrafodelista1">
    <w:name w:val="Párrafo de lista1"/>
    <w:basedOn w:val="Normal"/>
    <w:uiPriority w:val="99"/>
    <w:rsid w:val="00865B33"/>
    <w:pPr>
      <w:ind w:left="720"/>
      <w:contextualSpacing/>
    </w:pPr>
  </w:style>
  <w:style w:type="paragraph" w:styleId="Subtitle">
    <w:name w:val="Subtitle"/>
    <w:basedOn w:val="Normal"/>
    <w:next w:val="Normal"/>
    <w:link w:val="SubtitleChar"/>
    <w:uiPriority w:val="99"/>
    <w:qFormat/>
    <w:rsid w:val="007B0BA8"/>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7B0BA8"/>
    <w:rPr>
      <w:rFonts w:ascii="Cambria" w:hAnsi="Cambria" w:cs="Times New Roman"/>
      <w:i/>
      <w:iCs/>
      <w:color w:val="4F81BD"/>
      <w:spacing w:val="15"/>
      <w:sz w:val="24"/>
      <w:szCs w:val="24"/>
      <w:lang w:val="es-ES" w:eastAsia="ja-JP"/>
    </w:rPr>
  </w:style>
  <w:style w:type="paragraph" w:styleId="Revision">
    <w:name w:val="Revision"/>
    <w:hidden/>
    <w:uiPriority w:val="99"/>
    <w:semiHidden/>
    <w:rsid w:val="00820661"/>
    <w:rPr>
      <w:sz w:val="20"/>
      <w:szCs w:val="20"/>
      <w:lang w:val="es-ES" w:eastAsia="ja-JP"/>
    </w:rPr>
  </w:style>
  <w:style w:type="table" w:customStyle="1" w:styleId="Tablanormal11">
    <w:name w:val="Tabla normal 11"/>
    <w:uiPriority w:val="99"/>
    <w:rsid w:val="008A5C6A"/>
    <w:rPr>
      <w:sz w:val="20"/>
      <w:szCs w:val="20"/>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LightShading-Accent5">
    <w:name w:val="Light Shading Accent 5"/>
    <w:basedOn w:val="TableNormal"/>
    <w:uiPriority w:val="99"/>
    <w:rsid w:val="00D817FE"/>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Grid">
    <w:name w:val="Table Grid"/>
    <w:basedOn w:val="TableNormal"/>
    <w:uiPriority w:val="99"/>
    <w:locked/>
    <w:rsid w:val="007A6ABC"/>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3854869">
      <w:marLeft w:val="0"/>
      <w:marRight w:val="0"/>
      <w:marTop w:val="0"/>
      <w:marBottom w:val="0"/>
      <w:divBdr>
        <w:top w:val="none" w:sz="0" w:space="0" w:color="auto"/>
        <w:left w:val="none" w:sz="0" w:space="0" w:color="auto"/>
        <w:bottom w:val="none" w:sz="0" w:space="0" w:color="auto"/>
        <w:right w:val="none" w:sz="0" w:space="0" w:color="auto"/>
      </w:divBdr>
      <w:divsChild>
        <w:div w:id="1503854868">
          <w:marLeft w:val="0"/>
          <w:marRight w:val="0"/>
          <w:marTop w:val="30"/>
          <w:marBottom w:val="0"/>
          <w:divBdr>
            <w:top w:val="none" w:sz="0" w:space="0" w:color="auto"/>
            <w:left w:val="none" w:sz="0" w:space="0" w:color="auto"/>
            <w:bottom w:val="none" w:sz="0" w:space="0" w:color="auto"/>
            <w:right w:val="none" w:sz="0" w:space="0" w:color="auto"/>
          </w:divBdr>
          <w:divsChild>
            <w:div w:id="15038548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03854890">
          <w:marLeft w:val="0"/>
          <w:marRight w:val="0"/>
          <w:marTop w:val="0"/>
          <w:marBottom w:val="0"/>
          <w:divBdr>
            <w:top w:val="none" w:sz="0" w:space="0" w:color="auto"/>
            <w:left w:val="none" w:sz="0" w:space="0" w:color="auto"/>
            <w:bottom w:val="none" w:sz="0" w:space="0" w:color="auto"/>
            <w:right w:val="none" w:sz="0" w:space="0" w:color="auto"/>
          </w:divBdr>
          <w:divsChild>
            <w:div w:id="15038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4871">
      <w:marLeft w:val="0"/>
      <w:marRight w:val="0"/>
      <w:marTop w:val="0"/>
      <w:marBottom w:val="0"/>
      <w:divBdr>
        <w:top w:val="none" w:sz="0" w:space="0" w:color="auto"/>
        <w:left w:val="none" w:sz="0" w:space="0" w:color="auto"/>
        <w:bottom w:val="none" w:sz="0" w:space="0" w:color="auto"/>
        <w:right w:val="none" w:sz="0" w:space="0" w:color="auto"/>
      </w:divBdr>
      <w:divsChild>
        <w:div w:id="1503854870">
          <w:marLeft w:val="446"/>
          <w:marRight w:val="0"/>
          <w:marTop w:val="0"/>
          <w:marBottom w:val="0"/>
          <w:divBdr>
            <w:top w:val="none" w:sz="0" w:space="0" w:color="auto"/>
            <w:left w:val="none" w:sz="0" w:space="0" w:color="auto"/>
            <w:bottom w:val="none" w:sz="0" w:space="0" w:color="auto"/>
            <w:right w:val="none" w:sz="0" w:space="0" w:color="auto"/>
          </w:divBdr>
        </w:div>
        <w:div w:id="1503854873">
          <w:marLeft w:val="446"/>
          <w:marRight w:val="0"/>
          <w:marTop w:val="0"/>
          <w:marBottom w:val="0"/>
          <w:divBdr>
            <w:top w:val="none" w:sz="0" w:space="0" w:color="auto"/>
            <w:left w:val="none" w:sz="0" w:space="0" w:color="auto"/>
            <w:bottom w:val="none" w:sz="0" w:space="0" w:color="auto"/>
            <w:right w:val="none" w:sz="0" w:space="0" w:color="auto"/>
          </w:divBdr>
        </w:div>
        <w:div w:id="1503854877">
          <w:marLeft w:val="446"/>
          <w:marRight w:val="0"/>
          <w:marTop w:val="0"/>
          <w:marBottom w:val="0"/>
          <w:divBdr>
            <w:top w:val="none" w:sz="0" w:space="0" w:color="auto"/>
            <w:left w:val="none" w:sz="0" w:space="0" w:color="auto"/>
            <w:bottom w:val="none" w:sz="0" w:space="0" w:color="auto"/>
            <w:right w:val="none" w:sz="0" w:space="0" w:color="auto"/>
          </w:divBdr>
        </w:div>
        <w:div w:id="1503854883">
          <w:marLeft w:val="446"/>
          <w:marRight w:val="0"/>
          <w:marTop w:val="0"/>
          <w:marBottom w:val="0"/>
          <w:divBdr>
            <w:top w:val="none" w:sz="0" w:space="0" w:color="auto"/>
            <w:left w:val="none" w:sz="0" w:space="0" w:color="auto"/>
            <w:bottom w:val="none" w:sz="0" w:space="0" w:color="auto"/>
            <w:right w:val="none" w:sz="0" w:space="0" w:color="auto"/>
          </w:divBdr>
        </w:div>
        <w:div w:id="1503854885">
          <w:marLeft w:val="446"/>
          <w:marRight w:val="0"/>
          <w:marTop w:val="0"/>
          <w:marBottom w:val="0"/>
          <w:divBdr>
            <w:top w:val="none" w:sz="0" w:space="0" w:color="auto"/>
            <w:left w:val="none" w:sz="0" w:space="0" w:color="auto"/>
            <w:bottom w:val="none" w:sz="0" w:space="0" w:color="auto"/>
            <w:right w:val="none" w:sz="0" w:space="0" w:color="auto"/>
          </w:divBdr>
        </w:div>
        <w:div w:id="1503854886">
          <w:marLeft w:val="446"/>
          <w:marRight w:val="0"/>
          <w:marTop w:val="0"/>
          <w:marBottom w:val="0"/>
          <w:divBdr>
            <w:top w:val="none" w:sz="0" w:space="0" w:color="auto"/>
            <w:left w:val="none" w:sz="0" w:space="0" w:color="auto"/>
            <w:bottom w:val="none" w:sz="0" w:space="0" w:color="auto"/>
            <w:right w:val="none" w:sz="0" w:space="0" w:color="auto"/>
          </w:divBdr>
        </w:div>
        <w:div w:id="1503854889">
          <w:marLeft w:val="446"/>
          <w:marRight w:val="0"/>
          <w:marTop w:val="0"/>
          <w:marBottom w:val="0"/>
          <w:divBdr>
            <w:top w:val="none" w:sz="0" w:space="0" w:color="auto"/>
            <w:left w:val="none" w:sz="0" w:space="0" w:color="auto"/>
            <w:bottom w:val="none" w:sz="0" w:space="0" w:color="auto"/>
            <w:right w:val="none" w:sz="0" w:space="0" w:color="auto"/>
          </w:divBdr>
        </w:div>
      </w:divsChild>
    </w:div>
    <w:div w:id="1503854872">
      <w:marLeft w:val="0"/>
      <w:marRight w:val="0"/>
      <w:marTop w:val="0"/>
      <w:marBottom w:val="0"/>
      <w:divBdr>
        <w:top w:val="none" w:sz="0" w:space="0" w:color="auto"/>
        <w:left w:val="none" w:sz="0" w:space="0" w:color="auto"/>
        <w:bottom w:val="none" w:sz="0" w:space="0" w:color="auto"/>
        <w:right w:val="none" w:sz="0" w:space="0" w:color="auto"/>
      </w:divBdr>
    </w:div>
    <w:div w:id="1503854874">
      <w:marLeft w:val="0"/>
      <w:marRight w:val="0"/>
      <w:marTop w:val="0"/>
      <w:marBottom w:val="0"/>
      <w:divBdr>
        <w:top w:val="none" w:sz="0" w:space="0" w:color="auto"/>
        <w:left w:val="none" w:sz="0" w:space="0" w:color="auto"/>
        <w:bottom w:val="none" w:sz="0" w:space="0" w:color="auto"/>
        <w:right w:val="none" w:sz="0" w:space="0" w:color="auto"/>
      </w:divBdr>
    </w:div>
    <w:div w:id="1503854875">
      <w:marLeft w:val="0"/>
      <w:marRight w:val="0"/>
      <w:marTop w:val="0"/>
      <w:marBottom w:val="0"/>
      <w:divBdr>
        <w:top w:val="none" w:sz="0" w:space="0" w:color="auto"/>
        <w:left w:val="none" w:sz="0" w:space="0" w:color="auto"/>
        <w:bottom w:val="none" w:sz="0" w:space="0" w:color="auto"/>
        <w:right w:val="none" w:sz="0" w:space="0" w:color="auto"/>
      </w:divBdr>
    </w:div>
    <w:div w:id="1503854876">
      <w:marLeft w:val="0"/>
      <w:marRight w:val="0"/>
      <w:marTop w:val="0"/>
      <w:marBottom w:val="0"/>
      <w:divBdr>
        <w:top w:val="none" w:sz="0" w:space="0" w:color="auto"/>
        <w:left w:val="none" w:sz="0" w:space="0" w:color="auto"/>
        <w:bottom w:val="none" w:sz="0" w:space="0" w:color="auto"/>
        <w:right w:val="none" w:sz="0" w:space="0" w:color="auto"/>
      </w:divBdr>
    </w:div>
    <w:div w:id="1503854878">
      <w:marLeft w:val="0"/>
      <w:marRight w:val="0"/>
      <w:marTop w:val="0"/>
      <w:marBottom w:val="0"/>
      <w:divBdr>
        <w:top w:val="none" w:sz="0" w:space="0" w:color="auto"/>
        <w:left w:val="none" w:sz="0" w:space="0" w:color="auto"/>
        <w:bottom w:val="none" w:sz="0" w:space="0" w:color="auto"/>
        <w:right w:val="none" w:sz="0" w:space="0" w:color="auto"/>
      </w:divBdr>
    </w:div>
    <w:div w:id="1503854879">
      <w:marLeft w:val="0"/>
      <w:marRight w:val="0"/>
      <w:marTop w:val="0"/>
      <w:marBottom w:val="0"/>
      <w:divBdr>
        <w:top w:val="none" w:sz="0" w:space="0" w:color="auto"/>
        <w:left w:val="none" w:sz="0" w:space="0" w:color="auto"/>
        <w:bottom w:val="none" w:sz="0" w:space="0" w:color="auto"/>
        <w:right w:val="none" w:sz="0" w:space="0" w:color="auto"/>
      </w:divBdr>
    </w:div>
    <w:div w:id="1503854880">
      <w:marLeft w:val="0"/>
      <w:marRight w:val="0"/>
      <w:marTop w:val="0"/>
      <w:marBottom w:val="0"/>
      <w:divBdr>
        <w:top w:val="none" w:sz="0" w:space="0" w:color="auto"/>
        <w:left w:val="none" w:sz="0" w:space="0" w:color="auto"/>
        <w:bottom w:val="none" w:sz="0" w:space="0" w:color="auto"/>
        <w:right w:val="none" w:sz="0" w:space="0" w:color="auto"/>
      </w:divBdr>
    </w:div>
    <w:div w:id="1503854881">
      <w:marLeft w:val="0"/>
      <w:marRight w:val="0"/>
      <w:marTop w:val="0"/>
      <w:marBottom w:val="0"/>
      <w:divBdr>
        <w:top w:val="none" w:sz="0" w:space="0" w:color="auto"/>
        <w:left w:val="none" w:sz="0" w:space="0" w:color="auto"/>
        <w:bottom w:val="none" w:sz="0" w:space="0" w:color="auto"/>
        <w:right w:val="none" w:sz="0" w:space="0" w:color="auto"/>
      </w:divBdr>
    </w:div>
    <w:div w:id="1503854882">
      <w:marLeft w:val="0"/>
      <w:marRight w:val="0"/>
      <w:marTop w:val="0"/>
      <w:marBottom w:val="0"/>
      <w:divBdr>
        <w:top w:val="none" w:sz="0" w:space="0" w:color="auto"/>
        <w:left w:val="none" w:sz="0" w:space="0" w:color="auto"/>
        <w:bottom w:val="none" w:sz="0" w:space="0" w:color="auto"/>
        <w:right w:val="none" w:sz="0" w:space="0" w:color="auto"/>
      </w:divBdr>
    </w:div>
    <w:div w:id="1503854884">
      <w:marLeft w:val="0"/>
      <w:marRight w:val="0"/>
      <w:marTop w:val="0"/>
      <w:marBottom w:val="0"/>
      <w:divBdr>
        <w:top w:val="none" w:sz="0" w:space="0" w:color="auto"/>
        <w:left w:val="none" w:sz="0" w:space="0" w:color="auto"/>
        <w:bottom w:val="none" w:sz="0" w:space="0" w:color="auto"/>
        <w:right w:val="none" w:sz="0" w:space="0" w:color="auto"/>
      </w:divBdr>
    </w:div>
    <w:div w:id="1503854887">
      <w:marLeft w:val="0"/>
      <w:marRight w:val="0"/>
      <w:marTop w:val="0"/>
      <w:marBottom w:val="0"/>
      <w:divBdr>
        <w:top w:val="none" w:sz="0" w:space="0" w:color="auto"/>
        <w:left w:val="none" w:sz="0" w:space="0" w:color="auto"/>
        <w:bottom w:val="none" w:sz="0" w:space="0" w:color="auto"/>
        <w:right w:val="none" w:sz="0" w:space="0" w:color="auto"/>
      </w:divBdr>
    </w:div>
    <w:div w:id="1503854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6846</Words>
  <Characters>-32766</Characters>
  <Application>Microsoft Office Outlook</Application>
  <DocSecurity>0</DocSecurity>
  <Lines>0</Lines>
  <Paragraphs>0</Paragraphs>
  <ScaleCrop>false</ScaleCrop>
  <Company>UNC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
  <dc:creator>general</dc:creator>
  <cp:keywords/>
  <dc:description/>
  <cp:lastModifiedBy>General</cp:lastModifiedBy>
  <cp:revision>2</cp:revision>
  <cp:lastPrinted>2017-08-30T14:59:00Z</cp:lastPrinted>
  <dcterms:created xsi:type="dcterms:W3CDTF">2017-09-04T15:33:00Z</dcterms:created>
  <dcterms:modified xsi:type="dcterms:W3CDTF">2017-09-04T15:33:00Z</dcterms:modified>
</cp:coreProperties>
</file>